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139" w:rsidRDefault="003C3139" w:rsidP="003C31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3C3139" w:rsidRDefault="003C3139" w:rsidP="003C31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3C3139" w:rsidRDefault="003C3139" w:rsidP="003C313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ФИНАНСОВЫЙ УНИВЕРСИТЕТ</w:t>
      </w:r>
    </w:p>
    <w:p w:rsidR="003C3139" w:rsidRDefault="003C3139" w:rsidP="003C3139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3C3139" w:rsidRDefault="003C3139" w:rsidP="003C31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Тульский филиал</w:t>
      </w:r>
    </w:p>
    <w:p w:rsidR="003C3139" w:rsidRDefault="003C3139" w:rsidP="003C313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3139" w:rsidRDefault="003C3139" w:rsidP="003C31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математики и информатики</w:t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36"/>
          <w:szCs w:val="36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Контрольная работа</w:t>
      </w:r>
    </w:p>
    <w:p w:rsidR="003C3139" w:rsidRPr="00CE386A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r w:rsidR="00903A56" w:rsidRPr="00CE386A">
        <w:rPr>
          <w:rFonts w:ascii="Times New Roman" w:hAnsi="Times New Roman" w:cs="Times New Roman"/>
          <w:sz w:val="28"/>
          <w:szCs w:val="28"/>
        </w:rPr>
        <w:t>:</w:t>
      </w:r>
    </w:p>
    <w:p w:rsidR="003C3139" w:rsidRDefault="003C3139" w:rsidP="003C313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231F20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eastAsia="Calibri" w:hAnsi="Times New Roman" w:cs="Times New Roman"/>
          <w:b/>
          <w:bCs/>
          <w:color w:val="231F20"/>
          <w:sz w:val="32"/>
          <w:szCs w:val="32"/>
        </w:rPr>
        <w:t>Экономика информационных систем</w:t>
      </w:r>
      <w:r>
        <w:rPr>
          <w:rFonts w:ascii="Times New Roman" w:hAnsi="Times New Roman" w:cs="Times New Roman"/>
          <w:b/>
          <w:sz w:val="32"/>
          <w:szCs w:val="32"/>
        </w:rPr>
        <w:t>»</w:t>
      </w:r>
    </w:p>
    <w:p w:rsidR="003C3139" w:rsidRDefault="003C3139" w:rsidP="003C31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E386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3C3139" w:rsidRDefault="003C3139" w:rsidP="003C31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C3139" w:rsidRDefault="003C3139" w:rsidP="003C3139">
      <w:pPr>
        <w:autoSpaceDE w:val="0"/>
        <w:autoSpaceDN w:val="0"/>
        <w:adjustRightInd w:val="0"/>
        <w:spacing w:line="240" w:lineRule="auto"/>
        <w:ind w:left="4254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Выполнил студент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:   </w:t>
      </w:r>
      <w:proofErr w:type="spellStart"/>
      <w:r w:rsidR="00CE386A">
        <w:rPr>
          <w:rFonts w:ascii="Times New Roman" w:hAnsi="Times New Roman" w:cs="Times New Roman"/>
          <w:color w:val="231F20"/>
          <w:sz w:val="28"/>
          <w:szCs w:val="28"/>
        </w:rPr>
        <w:t>Христофорский</w:t>
      </w:r>
      <w:proofErr w:type="spellEnd"/>
      <w:r w:rsidR="00CE386A">
        <w:rPr>
          <w:rFonts w:ascii="Times New Roman" w:hAnsi="Times New Roman" w:cs="Times New Roman"/>
          <w:color w:val="231F20"/>
          <w:sz w:val="28"/>
          <w:szCs w:val="28"/>
        </w:rPr>
        <w:t xml:space="preserve"> Н.В.</w:t>
      </w:r>
    </w:p>
    <w:p w:rsidR="003C3139" w:rsidRDefault="003C3139" w:rsidP="003C3139">
      <w:pPr>
        <w:autoSpaceDE w:val="0"/>
        <w:autoSpaceDN w:val="0"/>
        <w:adjustRightInd w:val="0"/>
        <w:spacing w:line="240" w:lineRule="auto"/>
        <w:ind w:left="3540" w:firstLine="708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Группа</w:t>
      </w:r>
      <w:r>
        <w:rPr>
          <w:rFonts w:ascii="Times New Roman" w:hAnsi="Times New Roman" w:cs="Times New Roman"/>
          <w:color w:val="231F20"/>
          <w:sz w:val="28"/>
          <w:szCs w:val="28"/>
        </w:rPr>
        <w:t>:  3С</w:t>
      </w:r>
    </w:p>
    <w:p w:rsidR="003C3139" w:rsidRDefault="003C3139" w:rsidP="003C3139">
      <w:pPr>
        <w:autoSpaceDE w:val="0"/>
        <w:autoSpaceDN w:val="0"/>
        <w:adjustRightInd w:val="0"/>
        <w:spacing w:line="240" w:lineRule="auto"/>
        <w:ind w:left="4248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Номер зачетной книжки</w:t>
      </w:r>
      <w:r>
        <w:rPr>
          <w:rFonts w:ascii="Times New Roman" w:hAnsi="Times New Roman" w:cs="Times New Roman"/>
          <w:color w:val="231F20"/>
          <w:sz w:val="28"/>
          <w:szCs w:val="28"/>
        </w:rPr>
        <w:t>: 11улд126</w:t>
      </w:r>
      <w:r w:rsidR="00CE386A">
        <w:rPr>
          <w:rFonts w:ascii="Times New Roman" w:hAnsi="Times New Roman" w:cs="Times New Roman"/>
          <w:color w:val="231F20"/>
          <w:sz w:val="28"/>
          <w:szCs w:val="28"/>
        </w:rPr>
        <w:t>16</w:t>
      </w:r>
      <w:bookmarkStart w:id="0" w:name="_GoBack"/>
      <w:bookmarkEnd w:id="0"/>
    </w:p>
    <w:p w:rsidR="003C3139" w:rsidRDefault="003C3139" w:rsidP="003C3139">
      <w:pPr>
        <w:autoSpaceDE w:val="0"/>
        <w:autoSpaceDN w:val="0"/>
        <w:adjustRightInd w:val="0"/>
        <w:spacing w:line="240" w:lineRule="auto"/>
        <w:ind w:left="3540" w:firstLine="708"/>
        <w:rPr>
          <w:rFonts w:ascii="Times New Roman" w:eastAsia="Calibri" w:hAnsi="Times New Roman" w:cs="Times New Roman"/>
          <w:color w:val="231F20"/>
          <w:sz w:val="28"/>
          <w:szCs w:val="28"/>
        </w:rPr>
      </w:pPr>
      <w:r>
        <w:rPr>
          <w:rFonts w:ascii="Times New Roman" w:eastAsia="Calibri" w:hAnsi="Times New Roman" w:cs="Times New Roman"/>
          <w:color w:val="231F20"/>
          <w:sz w:val="28"/>
          <w:szCs w:val="28"/>
        </w:rPr>
        <w:t>Руководитель</w:t>
      </w:r>
      <w:r>
        <w:rPr>
          <w:rFonts w:ascii="Times New Roman" w:hAnsi="Times New Roman" w:cs="Times New Roman"/>
          <w:color w:val="231F20"/>
          <w:sz w:val="28"/>
          <w:szCs w:val="28"/>
        </w:rPr>
        <w:t>: Васина М. В.</w:t>
      </w: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1E132C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Тула  2014</w:t>
      </w:r>
    </w:p>
    <w:p w:rsidR="003C3139" w:rsidRDefault="003C3139" w:rsidP="003C313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3C3139" w:rsidRDefault="003C3139" w:rsidP="003C3139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Введение………………………………………………………………………..….3</w:t>
      </w:r>
    </w:p>
    <w:p w:rsidR="003C3139" w:rsidRDefault="003C3139" w:rsidP="003C3139">
      <w:pPr>
        <w:pStyle w:val="ConsPlusNormal"/>
        <w:widowControl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часть…………………………………………….…………………..4</w:t>
      </w:r>
    </w:p>
    <w:p w:rsidR="003C3139" w:rsidRDefault="003C3139" w:rsidP="003C31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Заключение……………………………………………………………………….11</w:t>
      </w:r>
    </w:p>
    <w:p w:rsidR="003C3139" w:rsidRDefault="003C3139" w:rsidP="003C31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литературы……………………………………………...12</w:t>
      </w: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Совокупная стоимость владения (англ.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Ownership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>, TCO) — это общая величина целевых затрат, которые вынужден нести владелец с момента начала реализации вступления в состояние владения до момента выхода из состояния владения и исполнения владельцем полного объема обязательств, связанных с владением.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Универсальных методик определения (расчета) совокупной стоимости владения не существует, поскольку в зависимости от объекта владения характеристики владения, структура затрат и принципы их определения могут различаться в значительной степени. Для определения совокупной стоимости владения разрабатываются специализированные методики, ориентированные на определенный объект владения и предназначенные для определения общей величины затрат на технику, оборудование, информационные системы и пр., рассчитывающихся на всех этапах жизненного цикла.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Ключевым принципом, реализуемым при разработке методик определения совокупной стоимости владения, является системный подход.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Для укрупненной оценки стоимости владения могут применяться упрощенные методики расчета TCO, выявляющие, прежде всего, структуру затрат, и дающие представление о вероятных потерях в процессе владения. Несмотря на то, что большинство затрат могут быть определены заранее либо спрогнозированы с высокой точностью, некоторые затраты носят вероятностный характер, что влечет за собой риск существенных отклонений действительных расходов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прогнозных (расчетных).</w:t>
      </w:r>
    </w:p>
    <w:p w:rsidR="003C3139" w:rsidRPr="002C53A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работы является изучение общей (совокупной) стоимости владения IT/IS.</w:t>
      </w:r>
    </w:p>
    <w:p w:rsidR="003C3139" w:rsidRPr="00F75B8A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B8A">
        <w:rPr>
          <w:rFonts w:ascii="Times New Roman" w:hAnsi="Times New Roman" w:cs="Times New Roman"/>
          <w:sz w:val="28"/>
          <w:szCs w:val="28"/>
        </w:rPr>
        <w:t xml:space="preserve">Объект </w:t>
      </w:r>
      <w:r>
        <w:rPr>
          <w:rFonts w:ascii="Times New Roman" w:hAnsi="Times New Roman" w:cs="Times New Roman"/>
          <w:sz w:val="28"/>
          <w:szCs w:val="28"/>
        </w:rPr>
        <w:t>изучения – совокупная стоимость владения IT/IS.</w:t>
      </w: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pStyle w:val="a3"/>
        <w:spacing w:after="0" w:line="360" w:lineRule="auto"/>
        <w:ind w:left="1068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lastRenderedPageBreak/>
        <w:t>Основная часть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Внедрение современных информационных технологий зачастую связано со значительными инвестициями и, соответственно, с необходимостью обоснования эффективности этих инвестиций. С другой стороны, чтобы планировать ИТ-бюджет на основе реальных коммерческих показателей, нужно ясно представлять себе статьи расходов и факторы, которые их формируют (особенно остро эта проблема стоит при консолидации бизнеса, когда необходимо управлять инфраструктурой нескольких компаний, каждая из которых имеет унаследованные серверы, программные приложения, сети связи, штат ИТ-службы и прочее).</w:t>
      </w:r>
    </w:p>
    <w:p w:rsidR="003C3139" w:rsidRP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В практике зарубежных компаний оптимальной основой для решения этой задачи считается концепция оценки совокупной стоимости владения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Ownership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- ТСО), и работы по управлению ТСО являются частью плановой работы отделов автоматизации предприятий. 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Под показателем ТСО понимается сумма прямых и косвенных затрат организации на эксплуатацию своих информационных систем. Здесь стоит особенно подчеркнуть наличие фактора косвенных затрат. В отличие от ИТ-бюджетов, которые включают только прямые затраты, в показатель TCO включается и оценка косвенных затрат, связанных с недостатками в работе информационных систем, в том числе:</w:t>
      </w:r>
    </w:p>
    <w:p w:rsidR="003C3139" w:rsidRPr="0053008D" w:rsidRDefault="003C3139" w:rsidP="003C313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потери времени сотрудников на самообучение;</w:t>
      </w:r>
    </w:p>
    <w:p w:rsidR="003C3139" w:rsidRPr="0053008D" w:rsidRDefault="003C3139" w:rsidP="003C313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потери времени сотрудников  на попытки решить проблемы с информационными системами самостоятельно в обход службы технической поддержки;</w:t>
      </w:r>
    </w:p>
    <w:p w:rsidR="003C3139" w:rsidRPr="0053008D" w:rsidRDefault="003C3139" w:rsidP="003C313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потери времени сотрудников на помощь коллегам в решении вопросов поддержки информационных систем;</w:t>
      </w:r>
    </w:p>
    <w:p w:rsidR="003C3139" w:rsidRPr="0053008D" w:rsidRDefault="003C3139" w:rsidP="003C313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>потери (реальные или возможные) предприятия от сбоев в работе ИТ-системы, когда системы становятся недоступными, что влияет непосредственно на конечных пользователей.</w:t>
      </w:r>
    </w:p>
    <w:p w:rsidR="003C3139" w:rsidRPr="0053008D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F75B8A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ТСО является ключевым количественным показателем эффективности процессов автоматизации компании, так как позволяет оценить совокупные затраты на информационные технологии (оборудование, инструментальные средства (ПО), процессы сопровождения информационных систем, а также действия конечных пользователей), анализировать их и соответственно управлять ИТ-затратами (бюджетом) для достижения наилучшей отдачи от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в организации. TCO представляет собой не просто отдельный интегральный показатель, но целую систему показателей, соответствующих различным статьям расходов.</w:t>
      </w:r>
      <w:r w:rsidRPr="00F75B8A">
        <w:rPr>
          <w:rFonts w:ascii="Times New Roman" w:hAnsi="Times New Roman" w:cs="Times New Roman"/>
          <w:sz w:val="28"/>
          <w:szCs w:val="28"/>
        </w:rPr>
        <w:t xml:space="preserve"> [1].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Оценка совокупной стоимости владения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может осуществляться в рамках задач разработки ИТ-стратегии (как элемент общей ИТ-стратегии) или являться самостоятельным проектом. 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Методика </w:t>
      </w:r>
      <w:proofErr w:type="spellStart"/>
      <w:r w:rsidRPr="0053008D">
        <w:rPr>
          <w:rFonts w:ascii="Times New Roman" w:hAnsi="Times New Roman" w:cs="Times New Roman"/>
          <w:sz w:val="28"/>
          <w:szCs w:val="28"/>
        </w:rPr>
        <w:t>TopS</w:t>
      </w:r>
      <w:proofErr w:type="spellEnd"/>
      <w:r w:rsidRPr="0053008D">
        <w:rPr>
          <w:rFonts w:ascii="Times New Roman" w:hAnsi="Times New Roman" w:cs="Times New Roman"/>
          <w:sz w:val="28"/>
          <w:szCs w:val="28"/>
        </w:rPr>
        <w:t xml:space="preserve"> BI по определению TCO включает следующие этапы работ.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Сбор данных по существующим активам ИС предприятия, процессам управления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>, а также операциям конечных пользователей ИТ.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Формирование модели совокупных затрат предприятия на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и определение эффективности существующих затрат на эксплуатацию информационной системы.</w:t>
      </w:r>
    </w:p>
    <w:p w:rsidR="003C3139" w:rsidRPr="0053008D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Сравнение совокупных затрат предприятия на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 xml:space="preserve"> с лучшими мировыми практиками и/или затрат на ИТ в отдельных филиалах или подразделениях между собой.</w:t>
      </w:r>
    </w:p>
    <w:p w:rsidR="003C3139" w:rsidRPr="00F75B8A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08D">
        <w:rPr>
          <w:rFonts w:ascii="Times New Roman" w:hAnsi="Times New Roman" w:cs="Times New Roman"/>
          <w:sz w:val="28"/>
          <w:szCs w:val="28"/>
        </w:rPr>
        <w:t xml:space="preserve">Определение вариантов изменения TCO в зависимости от возможных вариантов развития информационной системы, связанных с внедрением приложений, развитием инфраструктуры, обучением и повышением квалификации персонала или внедрением новых процессов управления </w:t>
      </w:r>
      <w:proofErr w:type="gramStart"/>
      <w:r w:rsidRPr="0053008D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53008D">
        <w:rPr>
          <w:rFonts w:ascii="Times New Roman" w:hAnsi="Times New Roman" w:cs="Times New Roman"/>
          <w:sz w:val="28"/>
          <w:szCs w:val="28"/>
        </w:rPr>
        <w:t>, например в соответствии с подходом ITSM.</w:t>
      </w:r>
    </w:p>
    <w:p w:rsidR="003C3139" w:rsidRPr="00F75B8A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lastRenderedPageBreak/>
        <w:t>При выборе новой информационной системы между альтернативными существующему решению вариантами необходимо оценить совокупную стоимость владения для каждого предлагаемого варианта. При этом жизненный цикл, на котором оцениваются прямые и косвенные затраты, должен включать: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время жизни существующей на предприятии системы;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время проектирования новой системы;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время на закупку и внедрение элементов новой системы;</w:t>
      </w:r>
    </w:p>
    <w:p w:rsidR="00464516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время эксплуатации новой системы, которое необходимо ограничить сроком возврата 90% вложенных инвестиций за счет прибыли от эксплуатации этой системы. Вариант информационной системы с более коротким жизненным циклом предпочтителен для дальнейшего использования. На рис. 1 самым рациональным является вариант А.</w:t>
      </w:r>
    </w:p>
    <w:p w:rsid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41925" cy="41738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1925" cy="417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3139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3C3139" w:rsidRDefault="003C3139" w:rsidP="003C31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lastRenderedPageBreak/>
        <w:t>Точка выбора новой системы для каждого предприятия индивидуальна. Предприятие может начать этот процесс в различных случаях, например: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при появлении необходимости дополнить или изменить функции существующей информационной системы, чтобы они соответствовали изменившимся потребностям бизнеса и не приводили к неоправданным финансовым потерям;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при достижении доходов от эксплуатации существующей системы порядка 90% вложенных в нее инвестиций;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при превышении эксплуатационных затрат на систему над доходами от ее использования и др.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Прямые и косвенные затраты могут включать следующие составляющие.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Прямые затраты.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1)</w:t>
      </w:r>
      <w:r w:rsidRPr="003C3139">
        <w:rPr>
          <w:rFonts w:ascii="Times New Roman" w:hAnsi="Times New Roman" w:cs="Times New Roman"/>
          <w:sz w:val="28"/>
          <w:szCs w:val="28"/>
        </w:rPr>
        <w:t>Основные затраты: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создание информационной системы;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оборудование — серверы, клиентские места, периферия, сетевые компоненты;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программное обеспечение (</w:t>
      </w:r>
      <w:proofErr w:type="gramStart"/>
      <w:r w:rsidRPr="003C313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C3139">
        <w:rPr>
          <w:rFonts w:ascii="Times New Roman" w:hAnsi="Times New Roman" w:cs="Times New Roman"/>
          <w:sz w:val="28"/>
          <w:szCs w:val="28"/>
        </w:rPr>
        <w:t>);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 xml:space="preserve">• приложения, утилиты, управляющее </w:t>
      </w:r>
      <w:proofErr w:type="gramStart"/>
      <w:r w:rsidRPr="003C313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3C3139">
        <w:rPr>
          <w:rFonts w:ascii="Times New Roman" w:hAnsi="Times New Roman" w:cs="Times New Roman"/>
          <w:sz w:val="28"/>
          <w:szCs w:val="28"/>
        </w:rPr>
        <w:t>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обновление (модернизация).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3C3139">
        <w:rPr>
          <w:rFonts w:ascii="Times New Roman" w:hAnsi="Times New Roman" w:cs="Times New Roman"/>
          <w:sz w:val="28"/>
          <w:szCs w:val="28"/>
        </w:rPr>
        <w:t>Эксплуатационные затраты: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управление задачами (сетью, системой, массивами памяти);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поддержка работоспособности системы — персонал, функционирование справочной службы, обучение, закупки, подготовка контрактов на поддержку системы;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разработка инфраструктуры, бизнес приложений.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C3139">
        <w:rPr>
          <w:rFonts w:ascii="Times New Roman" w:hAnsi="Times New Roman" w:cs="Times New Roman"/>
          <w:sz w:val="28"/>
          <w:szCs w:val="28"/>
        </w:rPr>
        <w:t>Прочие затраты: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lastRenderedPageBreak/>
        <w:t xml:space="preserve">• создание коммуникаций — глобальные сети, взаимодействие с поставщиками сервиса, удаленный доступ, </w:t>
      </w:r>
      <w:proofErr w:type="spellStart"/>
      <w:r w:rsidRPr="003C3139">
        <w:rPr>
          <w:rFonts w:ascii="Times New Roman" w:hAnsi="Times New Roman" w:cs="Times New Roman"/>
          <w:sz w:val="28"/>
          <w:szCs w:val="28"/>
        </w:rPr>
        <w:t>Internet</w:t>
      </w:r>
      <w:proofErr w:type="spellEnd"/>
      <w:r w:rsidRPr="003C3139">
        <w:rPr>
          <w:rFonts w:ascii="Times New Roman" w:hAnsi="Times New Roman" w:cs="Times New Roman"/>
          <w:sz w:val="28"/>
          <w:szCs w:val="28"/>
        </w:rPr>
        <w:t>, доступ клиента;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• управление и поддержка — аутсорсинг, сопровождение, справочная система.</w:t>
      </w:r>
    </w:p>
    <w:p w:rsidR="003C3139" w:rsidRPr="003C3139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52106B" w:rsidRDefault="003C3139" w:rsidP="0052106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Все затраты на создание информационной системы, которые ассоциируются с установкой оборудования и его подготовкой к эксплуатации, должны оцениваться как часть инвестиций. Эти разовые затраты могут включать в себя такие составляющие, как проектирование системы, программирование, тестирование системы, ревизия системы, приобретение оборудования, разработка и изменение руководств, обучение и передвижения в связи с установкой, тестированием и параллельным запуском системы.</w:t>
      </w:r>
      <w:r w:rsidR="0052106B">
        <w:rPr>
          <w:rFonts w:ascii="Times New Roman" w:hAnsi="Times New Roman" w:cs="Times New Roman"/>
          <w:sz w:val="28"/>
          <w:szCs w:val="28"/>
        </w:rPr>
        <w:t xml:space="preserve"> </w:t>
      </w:r>
      <w:r w:rsidR="0052106B" w:rsidRPr="0052106B">
        <w:rPr>
          <w:rFonts w:ascii="Times New Roman" w:hAnsi="Times New Roman" w:cs="Times New Roman"/>
          <w:sz w:val="28"/>
          <w:szCs w:val="28"/>
        </w:rPr>
        <w:t>[2].</w:t>
      </w:r>
    </w:p>
    <w:p w:rsidR="003C3139" w:rsidRP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 xml:space="preserve">Затраты на оборудование включают в себя стоимость компонент системы, затраты в течение жизненного цикла, такие, как смена оборудования, которое заменяется до истечения жизненного цикла. Затраты на оборудование могут включать и такие разовые расходы, как сопутствующая мебель для периферийных устройств. Оценки подготовительных работ должны основываться на масштабах реноваций и включать в себя изменение расположения при перемещении, добавлении или удалении оборудования. Кроме того, в эти затраты необходимо включать и </w:t>
      </w:r>
      <w:proofErr w:type="gramStart"/>
      <w:r w:rsidRPr="003C3139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3C3139">
        <w:rPr>
          <w:rFonts w:ascii="Times New Roman" w:hAnsi="Times New Roman" w:cs="Times New Roman"/>
          <w:sz w:val="28"/>
          <w:szCs w:val="28"/>
        </w:rPr>
        <w:t xml:space="preserve"> в электропитании, освещении и кондиционировании воздуха. Если часть оборудования берется в лизинг, то суммарные затраты на это оборудование выделяются в отдельную категорию.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В табл. 1 перечислены основные виды затрат и их составляющие, которые необходимо учитывать при определении совокупной стоимости владения.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:rsidR="003C3139" w:rsidRDefault="003C3139" w:rsidP="003C313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lastRenderedPageBreak/>
        <w:t>Эксплуатационные затраты</w:t>
      </w:r>
    </w:p>
    <w:p w:rsidR="003C3139" w:rsidRDefault="003C3139" w:rsidP="003C313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C3139">
        <w:rPr>
          <w:rFonts w:ascii="Times New Roman" w:hAnsi="Times New Roman" w:cs="Times New Roman"/>
          <w:sz w:val="28"/>
          <w:szCs w:val="28"/>
        </w:rPr>
        <w:t>(затраты на обслуживание и работу системы)</w:t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0858" cy="364854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1527" cy="364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3952" cy="3065461"/>
            <wp:effectExtent l="19050" t="0" r="8148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184" cy="3067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67762" cy="4808141"/>
            <wp:effectExtent l="19050" t="0" r="4338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432" cy="4808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63952" cy="938479"/>
            <wp:effectExtent l="19050" t="0" r="8148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435" cy="939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F75B8A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</w:t>
      </w:r>
      <w:r w:rsidRPr="00F75B8A">
        <w:rPr>
          <w:rFonts w:ascii="Times New Roman" w:hAnsi="Times New Roman" w:cs="Times New Roman"/>
          <w:sz w:val="28"/>
          <w:szCs w:val="28"/>
        </w:rPr>
        <w:t>овокупная стоимость владения (ТС</w:t>
      </w:r>
      <w:proofErr w:type="gramStart"/>
      <w:r w:rsidRPr="00F75B8A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F75B8A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75B8A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F75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B8A">
        <w:rPr>
          <w:rFonts w:ascii="Times New Roman" w:hAnsi="Times New Roman" w:cs="Times New Roman"/>
          <w:sz w:val="28"/>
          <w:szCs w:val="28"/>
        </w:rPr>
        <w:t>Cost</w:t>
      </w:r>
      <w:proofErr w:type="spellEnd"/>
      <w:r w:rsidRPr="00F75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B8A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F75B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B8A">
        <w:rPr>
          <w:rFonts w:ascii="Times New Roman" w:hAnsi="Times New Roman" w:cs="Times New Roman"/>
          <w:sz w:val="28"/>
          <w:szCs w:val="28"/>
        </w:rPr>
        <w:t>Ownership</w:t>
      </w:r>
      <w:proofErr w:type="spellEnd"/>
      <w:r w:rsidRPr="00F75B8A">
        <w:rPr>
          <w:rFonts w:ascii="Times New Roman" w:hAnsi="Times New Roman" w:cs="Times New Roman"/>
          <w:sz w:val="28"/>
          <w:szCs w:val="28"/>
        </w:rPr>
        <w:t xml:space="preserve">) информационной системой — сравнительно новое понятие, которому в последнее время уделяется самое пристальное внимание в литературе. Под совокупной стоимостью </w:t>
      </w:r>
      <w:proofErr w:type="gramStart"/>
      <w:r w:rsidRPr="00F75B8A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F75B8A">
        <w:rPr>
          <w:rFonts w:ascii="Times New Roman" w:hAnsi="Times New Roman" w:cs="Times New Roman"/>
          <w:sz w:val="28"/>
          <w:szCs w:val="28"/>
        </w:rPr>
        <w:t xml:space="preserve"> понимается сумма прямых и косвенных затрат, которые несет владелец системы за период жизненного цикла последней.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5B8A">
        <w:rPr>
          <w:rFonts w:ascii="Times New Roman" w:hAnsi="Times New Roman" w:cs="Times New Roman"/>
          <w:sz w:val="28"/>
          <w:szCs w:val="28"/>
        </w:rPr>
        <w:t xml:space="preserve">При анализе ТСО рассматривают жизненный цикл, включающий в себя время жизни существующей на предприятии системы, время, необходимое для проектирования нового альтернативного решения, срок эксплуатации альтернативной системы с учетом амортизации ее элементов и ориентировочного срока ожидания. </w:t>
      </w:r>
      <w:proofErr w:type="spellStart"/>
      <w:r w:rsidRPr="00F75B8A">
        <w:rPr>
          <w:rFonts w:ascii="Times New Roman" w:hAnsi="Times New Roman" w:cs="Times New Roman"/>
          <w:sz w:val="28"/>
          <w:szCs w:val="28"/>
        </w:rPr>
        <w:t>Полсроком</w:t>
      </w:r>
      <w:proofErr w:type="spellEnd"/>
      <w:r w:rsidRPr="00F75B8A">
        <w:rPr>
          <w:rFonts w:ascii="Times New Roman" w:hAnsi="Times New Roman" w:cs="Times New Roman"/>
          <w:sz w:val="28"/>
          <w:szCs w:val="28"/>
        </w:rPr>
        <w:t xml:space="preserve"> ожидания понимают время, необходимое для выхода системы на уровень доходности, при котором ее эксплуатация позволяет получить частичный (до 90%) возврат инвестиций, вложенных в систему.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3C3139" w:rsidRDefault="003C3139" w:rsidP="003C313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Default="003C3139" w:rsidP="003C313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6A6">
        <w:rPr>
          <w:rFonts w:ascii="Times New Roman" w:hAnsi="Times New Roman" w:cs="Times New Roman"/>
          <w:sz w:val="28"/>
          <w:szCs w:val="28"/>
        </w:rPr>
        <w:t>Совокупная стоимость владения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5B8A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F75B8A">
        <w:rPr>
          <w:rFonts w:ascii="Times New Roman" w:hAnsi="Times New Roman" w:cs="Times New Roman"/>
          <w:sz w:val="28"/>
          <w:szCs w:val="28"/>
        </w:rPr>
        <w:t>]/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139" w:rsidRPr="00F75B8A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8A">
        <w:rPr>
          <w:rFonts w:ascii="Times New Roman" w:hAnsi="Times New Roman" w:cs="Times New Roman"/>
          <w:sz w:val="28"/>
          <w:szCs w:val="28"/>
        </w:rPr>
        <w:t xml:space="preserve">Режим доступа: </w:t>
      </w:r>
      <w:hyperlink r:id="rId13" w:history="1">
        <w:r w:rsidRPr="00F75B8A">
          <w:rPr>
            <w:rStyle w:val="aa"/>
            <w:rFonts w:ascii="Times New Roman" w:hAnsi="Times New Roman" w:cs="Times New Roman"/>
            <w:sz w:val="28"/>
            <w:szCs w:val="28"/>
          </w:rPr>
          <w:t>http://ru.wikipedia.org/wiki/</w:t>
        </w:r>
      </w:hyperlink>
    </w:p>
    <w:p w:rsidR="003C3139" w:rsidRDefault="003C3139" w:rsidP="003C313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26A6">
        <w:rPr>
          <w:rFonts w:ascii="Times New Roman" w:hAnsi="Times New Roman" w:cs="Times New Roman"/>
          <w:sz w:val="28"/>
          <w:szCs w:val="28"/>
        </w:rPr>
        <w:t>Совокупная стоимость владения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5B8A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F75B8A">
        <w:rPr>
          <w:rFonts w:ascii="Times New Roman" w:hAnsi="Times New Roman" w:cs="Times New Roman"/>
          <w:sz w:val="28"/>
          <w:szCs w:val="28"/>
        </w:rPr>
        <w:t>]/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139" w:rsidRPr="00CF26A6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5B8A">
        <w:rPr>
          <w:rFonts w:ascii="Times New Roman" w:hAnsi="Times New Roman" w:cs="Times New Roman"/>
          <w:sz w:val="28"/>
          <w:szCs w:val="28"/>
        </w:rPr>
        <w:t xml:space="preserve">Режим доступа:  </w:t>
      </w:r>
      <w:hyperlink r:id="rId14" w:history="1">
        <w:r w:rsidRPr="00F75B8A">
          <w:rPr>
            <w:rStyle w:val="aa"/>
            <w:rFonts w:ascii="Times New Roman" w:hAnsi="Times New Roman" w:cs="Times New Roman"/>
            <w:sz w:val="28"/>
            <w:szCs w:val="28"/>
          </w:rPr>
          <w:t>http://www.irkinfo.ru/</w:t>
        </w:r>
      </w:hyperlink>
      <w:r w:rsidRPr="00F75B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139" w:rsidRDefault="003C3139" w:rsidP="003C3139">
      <w:pPr>
        <w:pStyle w:val="a3"/>
        <w:spacing w:after="0"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CF26A6" w:rsidRDefault="003C3139" w:rsidP="003C31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3139" w:rsidRPr="003C3139" w:rsidRDefault="003C3139" w:rsidP="003C31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C3139" w:rsidRPr="003C3139" w:rsidSect="003C3139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67B" w:rsidRDefault="004A667B" w:rsidP="003C3139">
      <w:pPr>
        <w:spacing w:after="0" w:line="240" w:lineRule="auto"/>
      </w:pPr>
      <w:r>
        <w:separator/>
      </w:r>
    </w:p>
  </w:endnote>
  <w:endnote w:type="continuationSeparator" w:id="0">
    <w:p w:rsidR="004A667B" w:rsidRDefault="004A667B" w:rsidP="003C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2636889"/>
    </w:sdtPr>
    <w:sdtEndPr/>
    <w:sdtContent>
      <w:p w:rsidR="003C3139" w:rsidRDefault="004A667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386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C3139" w:rsidRDefault="003C313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67B" w:rsidRDefault="004A667B" w:rsidP="003C3139">
      <w:pPr>
        <w:spacing w:after="0" w:line="240" w:lineRule="auto"/>
      </w:pPr>
      <w:r>
        <w:separator/>
      </w:r>
    </w:p>
  </w:footnote>
  <w:footnote w:type="continuationSeparator" w:id="0">
    <w:p w:rsidR="004A667B" w:rsidRDefault="004A667B" w:rsidP="003C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944D5F"/>
    <w:multiLevelType w:val="hybridMultilevel"/>
    <w:tmpl w:val="5100C9EE"/>
    <w:lvl w:ilvl="0" w:tplc="0DAE3B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C0295F"/>
    <w:multiLevelType w:val="hybridMultilevel"/>
    <w:tmpl w:val="C5C49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605DF"/>
    <w:multiLevelType w:val="hybridMultilevel"/>
    <w:tmpl w:val="CAB4D5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9CB5FFC"/>
    <w:multiLevelType w:val="hybridMultilevel"/>
    <w:tmpl w:val="D08E6ABA"/>
    <w:lvl w:ilvl="0" w:tplc="642E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7460951"/>
    <w:multiLevelType w:val="hybridMultilevel"/>
    <w:tmpl w:val="7D8A7FF2"/>
    <w:lvl w:ilvl="0" w:tplc="A8E624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139"/>
    <w:rsid w:val="001E047A"/>
    <w:rsid w:val="00300AEE"/>
    <w:rsid w:val="003C3139"/>
    <w:rsid w:val="00464516"/>
    <w:rsid w:val="004A667B"/>
    <w:rsid w:val="0052106B"/>
    <w:rsid w:val="00727232"/>
    <w:rsid w:val="00903A56"/>
    <w:rsid w:val="00CE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5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1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1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3C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C3139"/>
  </w:style>
  <w:style w:type="paragraph" w:styleId="a8">
    <w:name w:val="footer"/>
    <w:basedOn w:val="a"/>
    <w:link w:val="a9"/>
    <w:uiPriority w:val="99"/>
    <w:unhideWhenUsed/>
    <w:rsid w:val="003C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C3139"/>
  </w:style>
  <w:style w:type="character" w:styleId="aa">
    <w:name w:val="Hyperlink"/>
    <w:basedOn w:val="a0"/>
    <w:uiPriority w:val="99"/>
    <w:unhideWhenUsed/>
    <w:rsid w:val="003C3139"/>
    <w:rPr>
      <w:color w:val="0000FF" w:themeColor="hyperlink"/>
      <w:u w:val="single"/>
    </w:rPr>
  </w:style>
  <w:style w:type="paragraph" w:customStyle="1" w:styleId="ConsPlusNormal">
    <w:name w:val="ConsPlusNormal"/>
    <w:rsid w:val="003C3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u.wikipedia.org/wiki/&#1057;&#1086;&#1074;&#1086;&#1082;&#1091;&#1087;&#1085;&#1072;&#1103;_&#1089;&#1090;&#1086;&#1080;&#1084;&#1086;&#1089;&#1090;&#1100;_&#1074;&#1083;&#1072;&#1076;&#1077;&#1085;&#1080;&#1103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rkinfo.ru/sovokupnaya-stoimost-vladeniy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1530</Words>
  <Characters>8726</Characters>
  <Application>Microsoft Office Word</Application>
  <DocSecurity>0</DocSecurity>
  <Lines>72</Lines>
  <Paragraphs>20</Paragraphs>
  <ScaleCrop>false</ScaleCrop>
  <Company/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Бум</cp:lastModifiedBy>
  <cp:revision>6</cp:revision>
  <dcterms:created xsi:type="dcterms:W3CDTF">2014-05-19T13:32:00Z</dcterms:created>
  <dcterms:modified xsi:type="dcterms:W3CDTF">2014-06-10T10:56:00Z</dcterms:modified>
</cp:coreProperties>
</file>