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Pr="00BC3040" w:rsidRDefault="00BC3040" w:rsidP="00BC3040">
      <w:pPr>
        <w:pStyle w:val="1"/>
        <w:spacing w:before="0" w:line="360" w:lineRule="auto"/>
        <w:jc w:val="center"/>
        <w:rPr>
          <w:rFonts w:ascii="Times New Roman" w:eastAsia="Times New Roman" w:hAnsi="Times New Roman" w:cs="Times New Roman"/>
          <w:color w:val="auto"/>
          <w:sz w:val="36"/>
          <w:lang w:eastAsia="ru-RU"/>
        </w:rPr>
      </w:pPr>
      <w:r w:rsidRPr="00BC3040">
        <w:rPr>
          <w:rFonts w:ascii="Times New Roman" w:eastAsia="Times New Roman" w:hAnsi="Times New Roman" w:cs="Times New Roman"/>
          <w:color w:val="auto"/>
          <w:sz w:val="36"/>
          <w:lang w:eastAsia="ru-RU"/>
        </w:rPr>
        <w:t>Контрольная работа по гражданскому праву</w:t>
      </w: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p>
    <w:p w:rsidR="00BC3040" w:rsidRDefault="00BC3040" w:rsidP="00BC3040">
      <w:pPr>
        <w:pStyle w:val="1"/>
        <w:spacing w:before="0" w:line="360" w:lineRule="auto"/>
        <w:jc w:val="center"/>
        <w:rPr>
          <w:rFonts w:ascii="Times New Roman" w:eastAsia="Times New Roman" w:hAnsi="Times New Roman" w:cs="Times New Roman"/>
          <w:color w:val="auto"/>
          <w:lang w:eastAsia="ru-RU"/>
        </w:rPr>
      </w:pPr>
      <w:r>
        <w:rPr>
          <w:rFonts w:ascii="Times New Roman" w:eastAsia="Times New Roman" w:hAnsi="Times New Roman" w:cs="Times New Roman"/>
          <w:color w:val="auto"/>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297732254"/>
        <w:docPartObj>
          <w:docPartGallery w:val="Table of Contents"/>
          <w:docPartUnique/>
        </w:docPartObj>
      </w:sdtPr>
      <w:sdtEndPr/>
      <w:sdtContent>
        <w:p w:rsidR="00BC3040" w:rsidRPr="00BC3040" w:rsidRDefault="00BC3040" w:rsidP="00BC3040">
          <w:pPr>
            <w:pStyle w:val="a9"/>
            <w:rPr>
              <w:rFonts w:ascii="Times New Roman" w:hAnsi="Times New Roman" w:cs="Times New Roman"/>
              <w:sz w:val="16"/>
              <w:szCs w:val="16"/>
            </w:rPr>
          </w:pPr>
        </w:p>
        <w:p w:rsidR="00BC3040" w:rsidRPr="00BC3040" w:rsidRDefault="00BC3040" w:rsidP="00BC3040">
          <w:pPr>
            <w:pStyle w:val="11"/>
            <w:tabs>
              <w:tab w:val="right" w:leader="dot" w:pos="9204"/>
            </w:tabs>
            <w:spacing w:line="480" w:lineRule="auto"/>
            <w:rPr>
              <w:rFonts w:ascii="Times New Roman" w:eastAsiaTheme="minorEastAsia" w:hAnsi="Times New Roman" w:cs="Times New Roman"/>
              <w:noProof/>
              <w:sz w:val="28"/>
              <w:szCs w:val="28"/>
              <w:lang w:eastAsia="ru-RU"/>
            </w:rPr>
          </w:pPr>
          <w:r w:rsidRPr="00BC3040">
            <w:rPr>
              <w:rFonts w:ascii="Times New Roman" w:hAnsi="Times New Roman" w:cs="Times New Roman"/>
              <w:sz w:val="28"/>
              <w:szCs w:val="28"/>
            </w:rPr>
            <w:fldChar w:fldCharType="begin"/>
          </w:r>
          <w:r w:rsidRPr="00BC3040">
            <w:rPr>
              <w:rFonts w:ascii="Times New Roman" w:hAnsi="Times New Roman" w:cs="Times New Roman"/>
              <w:sz w:val="28"/>
              <w:szCs w:val="28"/>
            </w:rPr>
            <w:instrText xml:space="preserve"> TOC \o "1-3" \h \z \u </w:instrText>
          </w:r>
          <w:r w:rsidRPr="00BC3040">
            <w:rPr>
              <w:rFonts w:ascii="Times New Roman" w:hAnsi="Times New Roman" w:cs="Times New Roman"/>
              <w:sz w:val="28"/>
              <w:szCs w:val="28"/>
            </w:rPr>
            <w:fldChar w:fldCharType="separate"/>
          </w:r>
          <w:hyperlink w:anchor="_Toc402209255" w:history="1">
            <w:r w:rsidRPr="00BC3040">
              <w:rPr>
                <w:rStyle w:val="a3"/>
                <w:rFonts w:ascii="Times New Roman" w:eastAsia="Times New Roman" w:hAnsi="Times New Roman" w:cs="Times New Roman"/>
                <w:noProof/>
                <w:sz w:val="28"/>
                <w:szCs w:val="28"/>
                <w:lang w:eastAsia="ru-RU"/>
              </w:rPr>
              <w:t>Вопрос 1..</w:t>
            </w:r>
            <w:r w:rsidRPr="00BC3040">
              <w:rPr>
                <w:rFonts w:ascii="Times New Roman" w:hAnsi="Times New Roman" w:cs="Times New Roman"/>
                <w:noProof/>
                <w:webHidden/>
                <w:sz w:val="28"/>
                <w:szCs w:val="28"/>
              </w:rPr>
              <w:tab/>
            </w:r>
            <w:r w:rsidRPr="00BC3040">
              <w:rPr>
                <w:rFonts w:ascii="Times New Roman" w:hAnsi="Times New Roman" w:cs="Times New Roman"/>
                <w:noProof/>
                <w:webHidden/>
                <w:sz w:val="28"/>
                <w:szCs w:val="28"/>
              </w:rPr>
              <w:fldChar w:fldCharType="begin"/>
            </w:r>
            <w:r w:rsidRPr="00BC3040">
              <w:rPr>
                <w:rFonts w:ascii="Times New Roman" w:hAnsi="Times New Roman" w:cs="Times New Roman"/>
                <w:noProof/>
                <w:webHidden/>
                <w:sz w:val="28"/>
                <w:szCs w:val="28"/>
              </w:rPr>
              <w:instrText xml:space="preserve"> PAGEREF _Toc402209255 \h </w:instrText>
            </w:r>
            <w:r w:rsidRPr="00BC3040">
              <w:rPr>
                <w:rFonts w:ascii="Times New Roman" w:hAnsi="Times New Roman" w:cs="Times New Roman"/>
                <w:noProof/>
                <w:webHidden/>
                <w:sz w:val="28"/>
                <w:szCs w:val="28"/>
              </w:rPr>
            </w:r>
            <w:r w:rsidRPr="00BC304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BC3040">
              <w:rPr>
                <w:rFonts w:ascii="Times New Roman" w:hAnsi="Times New Roman" w:cs="Times New Roman"/>
                <w:noProof/>
                <w:webHidden/>
                <w:sz w:val="28"/>
                <w:szCs w:val="28"/>
              </w:rPr>
              <w:fldChar w:fldCharType="end"/>
            </w:r>
          </w:hyperlink>
        </w:p>
        <w:p w:rsidR="00BC3040" w:rsidRPr="00BC3040" w:rsidRDefault="004D3BA7" w:rsidP="00BC3040">
          <w:pPr>
            <w:pStyle w:val="11"/>
            <w:tabs>
              <w:tab w:val="right" w:leader="dot" w:pos="9204"/>
            </w:tabs>
            <w:spacing w:line="480" w:lineRule="auto"/>
            <w:rPr>
              <w:rFonts w:ascii="Times New Roman" w:eastAsiaTheme="minorEastAsia" w:hAnsi="Times New Roman" w:cs="Times New Roman"/>
              <w:noProof/>
              <w:sz w:val="28"/>
              <w:szCs w:val="28"/>
              <w:lang w:eastAsia="ru-RU"/>
            </w:rPr>
          </w:pPr>
          <w:hyperlink w:anchor="_Toc402209256" w:history="1">
            <w:r w:rsidR="00BC3040" w:rsidRPr="00BC3040">
              <w:rPr>
                <w:rStyle w:val="a3"/>
                <w:rFonts w:ascii="Times New Roman" w:eastAsia="Times New Roman" w:hAnsi="Times New Roman" w:cs="Times New Roman"/>
                <w:noProof/>
                <w:sz w:val="28"/>
                <w:szCs w:val="28"/>
                <w:lang w:eastAsia="ru-RU"/>
              </w:rPr>
              <w:t>Вопрос 2..</w:t>
            </w:r>
            <w:r w:rsidR="00BC3040" w:rsidRPr="00BC3040">
              <w:rPr>
                <w:rFonts w:ascii="Times New Roman" w:hAnsi="Times New Roman" w:cs="Times New Roman"/>
                <w:noProof/>
                <w:webHidden/>
                <w:sz w:val="28"/>
                <w:szCs w:val="28"/>
              </w:rPr>
              <w:tab/>
            </w:r>
            <w:r w:rsidR="00BC3040" w:rsidRPr="00BC3040">
              <w:rPr>
                <w:rFonts w:ascii="Times New Roman" w:hAnsi="Times New Roman" w:cs="Times New Roman"/>
                <w:noProof/>
                <w:webHidden/>
                <w:sz w:val="28"/>
                <w:szCs w:val="28"/>
              </w:rPr>
              <w:fldChar w:fldCharType="begin"/>
            </w:r>
            <w:r w:rsidR="00BC3040" w:rsidRPr="00BC3040">
              <w:rPr>
                <w:rFonts w:ascii="Times New Roman" w:hAnsi="Times New Roman" w:cs="Times New Roman"/>
                <w:noProof/>
                <w:webHidden/>
                <w:sz w:val="28"/>
                <w:szCs w:val="28"/>
              </w:rPr>
              <w:instrText xml:space="preserve"> PAGEREF _Toc402209256 \h </w:instrText>
            </w:r>
            <w:r w:rsidR="00BC3040" w:rsidRPr="00BC3040">
              <w:rPr>
                <w:rFonts w:ascii="Times New Roman" w:hAnsi="Times New Roman" w:cs="Times New Roman"/>
                <w:noProof/>
                <w:webHidden/>
                <w:sz w:val="28"/>
                <w:szCs w:val="28"/>
              </w:rPr>
            </w:r>
            <w:r w:rsidR="00BC3040" w:rsidRPr="00BC3040">
              <w:rPr>
                <w:rFonts w:ascii="Times New Roman" w:hAnsi="Times New Roman" w:cs="Times New Roman"/>
                <w:noProof/>
                <w:webHidden/>
                <w:sz w:val="28"/>
                <w:szCs w:val="28"/>
              </w:rPr>
              <w:fldChar w:fldCharType="separate"/>
            </w:r>
            <w:r w:rsidR="00BC3040">
              <w:rPr>
                <w:rFonts w:ascii="Times New Roman" w:hAnsi="Times New Roman" w:cs="Times New Roman"/>
                <w:noProof/>
                <w:webHidden/>
                <w:sz w:val="28"/>
                <w:szCs w:val="28"/>
              </w:rPr>
              <w:t>6</w:t>
            </w:r>
            <w:r w:rsidR="00BC3040" w:rsidRPr="00BC3040">
              <w:rPr>
                <w:rFonts w:ascii="Times New Roman" w:hAnsi="Times New Roman" w:cs="Times New Roman"/>
                <w:noProof/>
                <w:webHidden/>
                <w:sz w:val="28"/>
                <w:szCs w:val="28"/>
              </w:rPr>
              <w:fldChar w:fldCharType="end"/>
            </w:r>
          </w:hyperlink>
        </w:p>
        <w:p w:rsidR="00BC3040" w:rsidRPr="00BC3040" w:rsidRDefault="004D3BA7" w:rsidP="00BC3040">
          <w:pPr>
            <w:pStyle w:val="11"/>
            <w:tabs>
              <w:tab w:val="right" w:leader="dot" w:pos="9204"/>
            </w:tabs>
            <w:spacing w:line="480" w:lineRule="auto"/>
            <w:rPr>
              <w:rFonts w:ascii="Times New Roman" w:eastAsiaTheme="minorEastAsia" w:hAnsi="Times New Roman" w:cs="Times New Roman"/>
              <w:noProof/>
              <w:sz w:val="28"/>
              <w:szCs w:val="28"/>
              <w:lang w:eastAsia="ru-RU"/>
            </w:rPr>
          </w:pPr>
          <w:hyperlink w:anchor="_Toc402209257" w:history="1">
            <w:r w:rsidR="00BC3040" w:rsidRPr="00BC3040">
              <w:rPr>
                <w:rStyle w:val="a3"/>
                <w:rFonts w:ascii="Times New Roman" w:eastAsia="Times New Roman" w:hAnsi="Times New Roman" w:cs="Times New Roman"/>
                <w:noProof/>
                <w:sz w:val="28"/>
                <w:szCs w:val="28"/>
                <w:u w:val="none"/>
                <w:lang w:eastAsia="ru-RU"/>
              </w:rPr>
              <w:t>Вопрос 3.</w:t>
            </w:r>
            <w:r w:rsidR="00BC3040" w:rsidRPr="00BC3040">
              <w:rPr>
                <w:rFonts w:ascii="Times New Roman" w:hAnsi="Times New Roman" w:cs="Times New Roman"/>
                <w:noProof/>
                <w:webHidden/>
                <w:sz w:val="28"/>
                <w:szCs w:val="28"/>
              </w:rPr>
              <w:tab/>
            </w:r>
            <w:r w:rsidR="00BC3040" w:rsidRPr="00BC3040">
              <w:rPr>
                <w:rFonts w:ascii="Times New Roman" w:hAnsi="Times New Roman" w:cs="Times New Roman"/>
                <w:noProof/>
                <w:webHidden/>
                <w:sz w:val="28"/>
                <w:szCs w:val="28"/>
              </w:rPr>
              <w:fldChar w:fldCharType="begin"/>
            </w:r>
            <w:r w:rsidR="00BC3040" w:rsidRPr="00BC3040">
              <w:rPr>
                <w:rFonts w:ascii="Times New Roman" w:hAnsi="Times New Roman" w:cs="Times New Roman"/>
                <w:noProof/>
                <w:webHidden/>
                <w:sz w:val="28"/>
                <w:szCs w:val="28"/>
              </w:rPr>
              <w:instrText xml:space="preserve"> PAGEREF _Toc402209257 \h </w:instrText>
            </w:r>
            <w:r w:rsidR="00BC3040" w:rsidRPr="00BC3040">
              <w:rPr>
                <w:rFonts w:ascii="Times New Roman" w:hAnsi="Times New Roman" w:cs="Times New Roman"/>
                <w:noProof/>
                <w:webHidden/>
                <w:sz w:val="28"/>
                <w:szCs w:val="28"/>
              </w:rPr>
            </w:r>
            <w:r w:rsidR="00BC3040" w:rsidRPr="00BC3040">
              <w:rPr>
                <w:rFonts w:ascii="Times New Roman" w:hAnsi="Times New Roman" w:cs="Times New Roman"/>
                <w:noProof/>
                <w:webHidden/>
                <w:sz w:val="28"/>
                <w:szCs w:val="28"/>
              </w:rPr>
              <w:fldChar w:fldCharType="separate"/>
            </w:r>
            <w:r w:rsidR="00BC3040">
              <w:rPr>
                <w:rFonts w:ascii="Times New Roman" w:hAnsi="Times New Roman" w:cs="Times New Roman"/>
                <w:noProof/>
                <w:webHidden/>
                <w:sz w:val="28"/>
                <w:szCs w:val="28"/>
              </w:rPr>
              <w:t>8</w:t>
            </w:r>
            <w:r w:rsidR="00BC3040" w:rsidRPr="00BC3040">
              <w:rPr>
                <w:rFonts w:ascii="Times New Roman" w:hAnsi="Times New Roman" w:cs="Times New Roman"/>
                <w:noProof/>
                <w:webHidden/>
                <w:sz w:val="28"/>
                <w:szCs w:val="28"/>
              </w:rPr>
              <w:fldChar w:fldCharType="end"/>
            </w:r>
          </w:hyperlink>
        </w:p>
        <w:p w:rsidR="00BC3040" w:rsidRPr="00BC3040" w:rsidRDefault="004D3BA7" w:rsidP="00BC3040">
          <w:pPr>
            <w:pStyle w:val="11"/>
            <w:tabs>
              <w:tab w:val="right" w:leader="dot" w:pos="9204"/>
            </w:tabs>
            <w:spacing w:line="480" w:lineRule="auto"/>
            <w:rPr>
              <w:rFonts w:ascii="Times New Roman" w:eastAsiaTheme="minorEastAsia" w:hAnsi="Times New Roman" w:cs="Times New Roman"/>
              <w:noProof/>
              <w:sz w:val="28"/>
              <w:szCs w:val="28"/>
              <w:lang w:eastAsia="ru-RU"/>
            </w:rPr>
          </w:pPr>
          <w:hyperlink w:anchor="_Toc402209258" w:history="1">
            <w:r w:rsidR="00BC3040" w:rsidRPr="00BC3040">
              <w:rPr>
                <w:rStyle w:val="a3"/>
                <w:rFonts w:ascii="Times New Roman" w:eastAsia="Times New Roman" w:hAnsi="Times New Roman" w:cs="Times New Roman"/>
                <w:noProof/>
                <w:sz w:val="28"/>
                <w:szCs w:val="28"/>
                <w:lang w:eastAsia="ru-RU"/>
              </w:rPr>
              <w:t>Вопрос 4..</w:t>
            </w:r>
            <w:r w:rsidR="00BC3040" w:rsidRPr="00BC3040">
              <w:rPr>
                <w:rFonts w:ascii="Times New Roman" w:hAnsi="Times New Roman" w:cs="Times New Roman"/>
                <w:noProof/>
                <w:webHidden/>
                <w:sz w:val="28"/>
                <w:szCs w:val="28"/>
              </w:rPr>
              <w:tab/>
            </w:r>
            <w:r w:rsidR="00BC3040" w:rsidRPr="00BC3040">
              <w:rPr>
                <w:rFonts w:ascii="Times New Roman" w:hAnsi="Times New Roman" w:cs="Times New Roman"/>
                <w:noProof/>
                <w:webHidden/>
                <w:sz w:val="28"/>
                <w:szCs w:val="28"/>
              </w:rPr>
              <w:fldChar w:fldCharType="begin"/>
            </w:r>
            <w:r w:rsidR="00BC3040" w:rsidRPr="00BC3040">
              <w:rPr>
                <w:rFonts w:ascii="Times New Roman" w:hAnsi="Times New Roman" w:cs="Times New Roman"/>
                <w:noProof/>
                <w:webHidden/>
                <w:sz w:val="28"/>
                <w:szCs w:val="28"/>
              </w:rPr>
              <w:instrText xml:space="preserve"> PAGEREF _Toc402209258 \h </w:instrText>
            </w:r>
            <w:r w:rsidR="00BC3040" w:rsidRPr="00BC3040">
              <w:rPr>
                <w:rFonts w:ascii="Times New Roman" w:hAnsi="Times New Roman" w:cs="Times New Roman"/>
                <w:noProof/>
                <w:webHidden/>
                <w:sz w:val="28"/>
                <w:szCs w:val="28"/>
              </w:rPr>
            </w:r>
            <w:r w:rsidR="00BC3040" w:rsidRPr="00BC3040">
              <w:rPr>
                <w:rFonts w:ascii="Times New Roman" w:hAnsi="Times New Roman" w:cs="Times New Roman"/>
                <w:noProof/>
                <w:webHidden/>
                <w:sz w:val="28"/>
                <w:szCs w:val="28"/>
              </w:rPr>
              <w:fldChar w:fldCharType="separate"/>
            </w:r>
            <w:r w:rsidR="00BC3040">
              <w:rPr>
                <w:rFonts w:ascii="Times New Roman" w:hAnsi="Times New Roman" w:cs="Times New Roman"/>
                <w:noProof/>
                <w:webHidden/>
                <w:sz w:val="28"/>
                <w:szCs w:val="28"/>
              </w:rPr>
              <w:t>9</w:t>
            </w:r>
            <w:r w:rsidR="00BC3040" w:rsidRPr="00BC3040">
              <w:rPr>
                <w:rFonts w:ascii="Times New Roman" w:hAnsi="Times New Roman" w:cs="Times New Roman"/>
                <w:noProof/>
                <w:webHidden/>
                <w:sz w:val="28"/>
                <w:szCs w:val="28"/>
              </w:rPr>
              <w:fldChar w:fldCharType="end"/>
            </w:r>
          </w:hyperlink>
        </w:p>
        <w:p w:rsidR="00BC3040" w:rsidRPr="00BC3040" w:rsidRDefault="004D3BA7" w:rsidP="00BC3040">
          <w:pPr>
            <w:pStyle w:val="11"/>
            <w:tabs>
              <w:tab w:val="right" w:leader="dot" w:pos="9204"/>
            </w:tabs>
            <w:spacing w:line="480" w:lineRule="auto"/>
            <w:rPr>
              <w:rFonts w:ascii="Times New Roman" w:eastAsiaTheme="minorEastAsia" w:hAnsi="Times New Roman" w:cs="Times New Roman"/>
              <w:noProof/>
              <w:sz w:val="28"/>
              <w:szCs w:val="28"/>
              <w:lang w:eastAsia="ru-RU"/>
            </w:rPr>
          </w:pPr>
          <w:hyperlink w:anchor="_Toc402209260" w:history="1">
            <w:r w:rsidR="00BC3040" w:rsidRPr="00BC3040">
              <w:rPr>
                <w:rStyle w:val="a3"/>
                <w:rFonts w:ascii="Times New Roman" w:eastAsia="Times New Roman" w:hAnsi="Times New Roman" w:cs="Times New Roman"/>
                <w:noProof/>
                <w:sz w:val="28"/>
                <w:szCs w:val="28"/>
                <w:lang w:eastAsia="ru-RU"/>
              </w:rPr>
              <w:t>Список использованной литературы:</w:t>
            </w:r>
            <w:r w:rsidR="00BC3040" w:rsidRPr="00BC3040">
              <w:rPr>
                <w:rFonts w:ascii="Times New Roman" w:hAnsi="Times New Roman" w:cs="Times New Roman"/>
                <w:noProof/>
                <w:webHidden/>
                <w:sz w:val="28"/>
                <w:szCs w:val="28"/>
              </w:rPr>
              <w:tab/>
            </w:r>
            <w:r w:rsidR="00BC3040" w:rsidRPr="00BC3040">
              <w:rPr>
                <w:rFonts w:ascii="Times New Roman" w:hAnsi="Times New Roman" w:cs="Times New Roman"/>
                <w:noProof/>
                <w:webHidden/>
                <w:sz w:val="28"/>
                <w:szCs w:val="28"/>
              </w:rPr>
              <w:fldChar w:fldCharType="begin"/>
            </w:r>
            <w:r w:rsidR="00BC3040" w:rsidRPr="00BC3040">
              <w:rPr>
                <w:rFonts w:ascii="Times New Roman" w:hAnsi="Times New Roman" w:cs="Times New Roman"/>
                <w:noProof/>
                <w:webHidden/>
                <w:sz w:val="28"/>
                <w:szCs w:val="28"/>
              </w:rPr>
              <w:instrText xml:space="preserve"> PAGEREF _Toc402209260 \h </w:instrText>
            </w:r>
            <w:r w:rsidR="00BC3040" w:rsidRPr="00BC3040">
              <w:rPr>
                <w:rFonts w:ascii="Times New Roman" w:hAnsi="Times New Roman" w:cs="Times New Roman"/>
                <w:noProof/>
                <w:webHidden/>
                <w:sz w:val="28"/>
                <w:szCs w:val="28"/>
              </w:rPr>
            </w:r>
            <w:r w:rsidR="00BC3040" w:rsidRPr="00BC3040">
              <w:rPr>
                <w:rFonts w:ascii="Times New Roman" w:hAnsi="Times New Roman" w:cs="Times New Roman"/>
                <w:noProof/>
                <w:webHidden/>
                <w:sz w:val="28"/>
                <w:szCs w:val="28"/>
              </w:rPr>
              <w:fldChar w:fldCharType="separate"/>
            </w:r>
            <w:r w:rsidR="00BC3040">
              <w:rPr>
                <w:rFonts w:ascii="Times New Roman" w:hAnsi="Times New Roman" w:cs="Times New Roman"/>
                <w:noProof/>
                <w:webHidden/>
                <w:sz w:val="28"/>
                <w:szCs w:val="28"/>
              </w:rPr>
              <w:t>10</w:t>
            </w:r>
            <w:r w:rsidR="00BC3040" w:rsidRPr="00BC3040">
              <w:rPr>
                <w:rFonts w:ascii="Times New Roman" w:hAnsi="Times New Roman" w:cs="Times New Roman"/>
                <w:noProof/>
                <w:webHidden/>
                <w:sz w:val="28"/>
                <w:szCs w:val="28"/>
              </w:rPr>
              <w:fldChar w:fldCharType="end"/>
            </w:r>
          </w:hyperlink>
        </w:p>
        <w:p w:rsidR="00BC3040" w:rsidRDefault="00BC3040" w:rsidP="00BC3040">
          <w:r w:rsidRPr="00BC3040">
            <w:rPr>
              <w:rFonts w:ascii="Times New Roman" w:hAnsi="Times New Roman" w:cs="Times New Roman"/>
              <w:b/>
              <w:bCs/>
              <w:sz w:val="28"/>
              <w:szCs w:val="28"/>
            </w:rPr>
            <w:fldChar w:fldCharType="end"/>
          </w:r>
        </w:p>
      </w:sdtContent>
    </w:sdt>
    <w:p w:rsidR="00BC3040" w:rsidRDefault="00BC3040" w:rsidP="00BC3040">
      <w:pPr>
        <w:pStyle w:val="1"/>
        <w:spacing w:before="0" w:line="360" w:lineRule="auto"/>
        <w:jc w:val="both"/>
        <w:rPr>
          <w:rFonts w:ascii="Times New Roman" w:eastAsia="Times New Roman" w:hAnsi="Times New Roman" w:cs="Times New Roman"/>
          <w:color w:val="auto"/>
          <w:lang w:eastAsia="ru-RU"/>
        </w:rPr>
      </w:pPr>
    </w:p>
    <w:p w:rsidR="00BC3040" w:rsidRDefault="00BC3040" w:rsidP="00BC3040">
      <w:pPr>
        <w:pStyle w:val="1"/>
        <w:spacing w:before="0" w:line="360" w:lineRule="auto"/>
        <w:jc w:val="both"/>
        <w:rPr>
          <w:rFonts w:ascii="Times New Roman" w:eastAsia="Times New Roman" w:hAnsi="Times New Roman" w:cs="Times New Roman"/>
          <w:color w:val="auto"/>
          <w:lang w:eastAsia="ru-RU"/>
        </w:rPr>
      </w:pPr>
    </w:p>
    <w:p w:rsidR="00BC3040" w:rsidRDefault="00BC3040">
      <w:pPr>
        <w:rPr>
          <w:rFonts w:ascii="Times New Roman" w:eastAsia="Times New Roman" w:hAnsi="Times New Roman" w:cs="Times New Roman"/>
          <w:b/>
          <w:bCs/>
          <w:sz w:val="28"/>
          <w:szCs w:val="28"/>
          <w:lang w:eastAsia="ru-RU"/>
        </w:rPr>
      </w:pPr>
      <w:r>
        <w:rPr>
          <w:rFonts w:ascii="Times New Roman" w:eastAsia="Times New Roman" w:hAnsi="Times New Roman" w:cs="Times New Roman"/>
          <w:lang w:eastAsia="ru-RU"/>
        </w:rPr>
        <w:br w:type="page"/>
      </w:r>
    </w:p>
    <w:p w:rsidR="00336877" w:rsidRPr="00BC3040" w:rsidRDefault="00BC3040" w:rsidP="00BC3040">
      <w:pPr>
        <w:pStyle w:val="1"/>
        <w:spacing w:before="0" w:line="360" w:lineRule="auto"/>
        <w:jc w:val="both"/>
        <w:rPr>
          <w:rFonts w:ascii="Times New Roman" w:eastAsia="Times New Roman" w:hAnsi="Times New Roman" w:cs="Times New Roman"/>
          <w:color w:val="222222"/>
          <w:lang w:eastAsia="ru-RU"/>
        </w:rPr>
      </w:pPr>
      <w:bookmarkStart w:id="0" w:name="_Toc402209255"/>
      <w:r w:rsidRPr="00BC3040">
        <w:rPr>
          <w:rFonts w:ascii="Times New Roman" w:eastAsia="Times New Roman" w:hAnsi="Times New Roman" w:cs="Times New Roman"/>
          <w:color w:val="auto"/>
          <w:lang w:eastAsia="ru-RU"/>
        </w:rPr>
        <w:lastRenderedPageBreak/>
        <w:t>Вопрос 1</w:t>
      </w:r>
      <w:r>
        <w:rPr>
          <w:rFonts w:ascii="Times New Roman" w:eastAsia="Times New Roman" w:hAnsi="Times New Roman" w:cs="Times New Roman"/>
          <w:color w:val="auto"/>
          <w:lang w:eastAsia="ru-RU"/>
        </w:rPr>
        <w:t>.</w:t>
      </w:r>
      <w:r>
        <w:rPr>
          <w:rFonts w:ascii="Times New Roman" w:eastAsia="Times New Roman" w:hAnsi="Times New Roman" w:cs="Times New Roman"/>
          <w:color w:val="222222"/>
          <w:lang w:eastAsia="ru-RU"/>
        </w:rPr>
        <w:t xml:space="preserve"> </w:t>
      </w:r>
      <w:r w:rsidR="00FC0574" w:rsidRPr="00BC3040">
        <w:rPr>
          <w:rFonts w:ascii="Times New Roman" w:eastAsia="Times New Roman" w:hAnsi="Times New Roman" w:cs="Times New Roman"/>
          <w:color w:val="222222"/>
          <w:lang w:eastAsia="ru-RU"/>
        </w:rPr>
        <w:t>Отграничьте договор на выполнение проектных и изыскательских работ от договора на выполнение научно-исследовательских опытно-конструкторских работ.</w:t>
      </w:r>
      <w:bookmarkEnd w:id="0"/>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Договор на выполнение проектных и изыскательских работ и договора выполнение научно-исследовательских опытно-конструкторских работ, очень похожи даже по своей характеристике. Оба они являются консенсуальными, возмездными, взаимными. Также они очень близки по своей юридической природе, так как направлены на выполнение определенных работ. Вот только результат и характер выполняемых работ различен на столько, что это не позволяет их отнести к одному типу договоров.</w:t>
      </w:r>
      <w:r w:rsidRPr="00BC3040">
        <w:rPr>
          <w:rFonts w:ascii="Times New Roman" w:eastAsia="Times New Roman" w:hAnsi="Times New Roman" w:cs="Times New Roman"/>
          <w:color w:val="222222"/>
          <w:sz w:val="28"/>
          <w:szCs w:val="28"/>
          <w:lang w:eastAsia="ru-RU"/>
        </w:rPr>
        <w:br/>
        <w:t>Понятие договора подряда на выполнение проектных и изыскательских работ раскрыто в ст. 758 Гражданского кодекса РФ: «По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 Данная статья включена в главу 37 ГК РФ «Подряд», следовательно, договор на выполнение проектных и изыскательских работ является разновидностью договора подряда, что подтверждается и п. 2 ст. 702 ГК РФ. Таким образом, к отношениям, связанным с заключением и исполнением договора на выполнение проектных и изыскательских работ, применяются также нормы § 1 главы 37 ГК РФ.</w:t>
      </w:r>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 xml:space="preserve">Исполнение договора на выполнение проектных и изыскательских работ не предполагает творческих усилий: его объект не является творческим. В этом состоит одно из основных отличий этого договора от договоров на выполнение научно-исследовательских, опытно-конструкторских и технологических работ, регламентированных главой 39 ГКРФ. Ученые справедливо отмечают, что «технический проект не следует смешивать с архитектурным проектом, который охраняется авторским </w:t>
      </w:r>
      <w:r w:rsidRPr="00BC3040">
        <w:rPr>
          <w:rFonts w:ascii="Times New Roman" w:eastAsia="Times New Roman" w:hAnsi="Times New Roman" w:cs="Times New Roman"/>
          <w:color w:val="222222"/>
          <w:sz w:val="28"/>
          <w:szCs w:val="28"/>
          <w:lang w:eastAsia="ru-RU"/>
        </w:rPr>
        <w:lastRenderedPageBreak/>
        <w:t>правом».</w:t>
      </w:r>
      <w:r w:rsidRPr="00BC3040">
        <w:rPr>
          <w:rFonts w:ascii="Times New Roman" w:eastAsia="Times New Roman" w:hAnsi="Times New Roman" w:cs="Times New Roman"/>
          <w:color w:val="222222"/>
          <w:sz w:val="28"/>
          <w:szCs w:val="28"/>
          <w:lang w:eastAsia="ru-RU"/>
        </w:rPr>
        <w:br/>
        <w:t>Однако существует и противоположное мнение, согласно которому одна из особенностей предмета данного вида договора подряда состоит в том, что нематериальный результат работ чаще всего относится к объектам исключительных прав (так, архитектурный проект, бесспорно, является объектом авторского права).</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На мой взгляд, в результате исполнения договора подряда на выполнение проектных и изыскательских работ объект интеллектуальных прав теоретически возникать не должен, но на практике это вполне возможно.</w:t>
      </w:r>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Проблема появляется, если в процессе исполнения договора подряда на выполнение проектных и изыскательских работ будет создано, например произведение или объект, обладающий критериями патентоспособности (изобретение, полезная модель, промышленный образец). Можно ли такой объект считать результатом проектных и изыскательских работ и применять к нему соответствующие нормы? В параграфе 1 главы 37 ГК РФ данная ситуация не учитывается и соответственно не регламентируется, в отличие от главы 38 ГК РФ («Выполнение научно-исследовательских, опытно-конструкторских и технологических работ»).</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Представляется возможным следующее толкование. Если в процессе исполнения договора подряда на выполнение проектных и изыскательских работ был создано произведение или объект, обладающий критериями патентоспособности, это означает, что отношения сторон вышли за предмет регулирования § 4 главы 37 ГК РФ. Как известно, название договора правоустанавливающего значения не имеет, следовательно, к отношениям сторон в части распоряжения созданным объектом можно применить нормы,</w:t>
      </w:r>
      <w:r w:rsidR="00336877" w:rsidRPr="00BC3040">
        <w:rPr>
          <w:rFonts w:ascii="Times New Roman" w:eastAsia="Times New Roman" w:hAnsi="Times New Roman" w:cs="Times New Roman"/>
          <w:color w:val="222222"/>
          <w:sz w:val="28"/>
          <w:szCs w:val="28"/>
          <w:lang w:eastAsia="ru-RU"/>
        </w:rPr>
        <w:t xml:space="preserve"> </w:t>
      </w:r>
      <w:r w:rsidRPr="00BC3040">
        <w:rPr>
          <w:rFonts w:ascii="Times New Roman" w:eastAsia="Times New Roman" w:hAnsi="Times New Roman" w:cs="Times New Roman"/>
          <w:color w:val="222222"/>
          <w:sz w:val="28"/>
          <w:szCs w:val="28"/>
          <w:lang w:eastAsia="ru-RU"/>
        </w:rPr>
        <w:t xml:space="preserve">регламентирующие именно эти отношения, т. е. нормы п. 2 ст. 772 ГК РФ. В соответствии с ними заказчик имеет право использовать переданные ему исполнителем результаты работ, а исполнитель вправе использовать полученные им результаты для собственных нужд. Кроме </w:t>
      </w:r>
      <w:r w:rsidRPr="00BC3040">
        <w:rPr>
          <w:rFonts w:ascii="Times New Roman" w:eastAsia="Times New Roman" w:hAnsi="Times New Roman" w:cs="Times New Roman"/>
          <w:color w:val="222222"/>
          <w:sz w:val="28"/>
          <w:szCs w:val="28"/>
          <w:lang w:eastAsia="ru-RU"/>
        </w:rPr>
        <w:lastRenderedPageBreak/>
        <w:t>того, следует учесть, что в силу п. 3 ст. 772 ГК РФ права исполнителя и заказчика на результаты работ, которым предоставляется правовая охрана как результатам интеллектуальной деятельности, определяются нормами раздела 7 ГК РФ («Права на результаты интеллектуальной деятельности и средства индивидуализации»).</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Научно-исследовательские и опытно-конструкторские работы (НИОКР) отличаются от подрядных работ, в том числе и от проектно-изыскательских, что и привело их к отдельному правовому регулированию в гл. 38 ГК. В отличие от договора на проведение подрядных работ, результат и порядок проведения которых заранее ясен его сторонам, в договоре на проведение НИОКР можно определить лишь направление работы и общие параметры ее результатов.</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Таким образом, предмет договора на выполнение НИР и ОКР является определимым, а не определенным. Это связано с тем, что НИР и ОКР всегда носят творческий характер. При этом степень творчества особенно высока в НИР. Эти работы сугубо творческого характера имеют целью получение новых знаний в различных областях науки, а их результат воплощается в научном отчете, который можно рассматривать как произведение науки. Наличие такого результата сближает НИР с договором авторского заказа, однако существует и принципиальное различие. Результат договора авторского заказа ценен именно как произведение, т.е. оригинальная творческая форма, в то время как отчет о выполнении НИР имеет ценность не с точки зрения той</w:t>
      </w:r>
      <w:r w:rsidR="00336877" w:rsidRPr="00BC3040">
        <w:rPr>
          <w:rFonts w:ascii="Times New Roman" w:eastAsia="Times New Roman" w:hAnsi="Times New Roman" w:cs="Times New Roman"/>
          <w:color w:val="222222"/>
          <w:sz w:val="28"/>
          <w:szCs w:val="28"/>
          <w:lang w:eastAsia="ru-RU"/>
        </w:rPr>
        <w:t xml:space="preserve"> </w:t>
      </w:r>
      <w:r w:rsidRPr="00BC3040">
        <w:rPr>
          <w:rFonts w:ascii="Times New Roman" w:eastAsia="Times New Roman" w:hAnsi="Times New Roman" w:cs="Times New Roman"/>
          <w:color w:val="222222"/>
          <w:sz w:val="28"/>
          <w:szCs w:val="28"/>
          <w:lang w:eastAsia="ru-RU"/>
        </w:rPr>
        <w:t>формы, в которой он воплощен, а с точки зрения своего содержания: тех выводов и тех рекомендаций, которые делает исполнитель. На основе НИР достигается конкретный результат. Например, изобретение не является в чистом виде результатом НИР, а представляет собой результат научно-технической деятельности. Именно поэтому НИР — это прежде всего договор о выполнении творческих работ, а не договор о создании произведения.</w:t>
      </w:r>
    </w:p>
    <w:p w:rsidR="00336877" w:rsidRPr="00BC3040" w:rsidRDefault="00FC0574" w:rsidP="00BC3040">
      <w:pPr>
        <w:pStyle w:val="1"/>
        <w:spacing w:before="0" w:line="360" w:lineRule="auto"/>
        <w:jc w:val="both"/>
        <w:rPr>
          <w:rFonts w:ascii="Times New Roman" w:eastAsia="Times New Roman" w:hAnsi="Times New Roman" w:cs="Times New Roman"/>
          <w:color w:val="222222"/>
          <w:lang w:eastAsia="ru-RU"/>
        </w:rPr>
      </w:pPr>
      <w:bookmarkStart w:id="1" w:name="_Toc402209256"/>
      <w:r w:rsidRPr="00BC3040">
        <w:rPr>
          <w:rFonts w:ascii="Times New Roman" w:eastAsia="Times New Roman" w:hAnsi="Times New Roman" w:cs="Times New Roman"/>
          <w:color w:val="auto"/>
          <w:lang w:eastAsia="ru-RU"/>
        </w:rPr>
        <w:lastRenderedPageBreak/>
        <w:t>Вопрос 2</w:t>
      </w:r>
      <w:r w:rsidR="00BC3040">
        <w:rPr>
          <w:rFonts w:ascii="Times New Roman" w:eastAsia="Times New Roman" w:hAnsi="Times New Roman" w:cs="Times New Roman"/>
          <w:color w:val="auto"/>
          <w:lang w:eastAsia="ru-RU"/>
        </w:rPr>
        <w:t>.</w:t>
      </w:r>
      <w:r w:rsidRPr="00BC3040">
        <w:rPr>
          <w:rFonts w:ascii="Times New Roman" w:eastAsia="Times New Roman" w:hAnsi="Times New Roman" w:cs="Times New Roman"/>
          <w:color w:val="222222"/>
          <w:lang w:eastAsia="ru-RU"/>
        </w:rPr>
        <w:t xml:space="preserve"> Отличие договоров поручительства и агентирования.</w:t>
      </w:r>
      <w:r w:rsidRPr="00BC3040">
        <w:rPr>
          <w:rFonts w:ascii="Times New Roman" w:eastAsia="Times New Roman" w:hAnsi="Times New Roman" w:cs="Times New Roman"/>
          <w:color w:val="222222"/>
          <w:lang w:eastAsia="ru-RU"/>
        </w:rPr>
        <w:br/>
        <w:t>Хозяйственные отношения между субъектами предпринимательской деятельности немыслимы без делегирования части полномочий сторонним организациям и физическим лицам. Для реализации данной задачи используются агентские договора, а также договора поручения. Тонкое понимание правовых норм даёт возможность использовать подходящую форму правоотношений в тех или иных ситуациях.</w:t>
      </w:r>
      <w:bookmarkEnd w:id="1"/>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Агентский договор – это двустороннее соглашение, в соответствии с которым исполнитель (агент) берёт на себя обязанность по исполнению поручения заказчика (принципала) и реализации связанных с этим действий. Такая форма работы позволяет ускорить процесс принятия решений, ориентируя стороны на результат. Фактически, агент выступает в качестве посредника, представителя своего заказчика и может выполнять сразу несколько юридически связанных между собой действий.</w:t>
      </w:r>
      <w:r w:rsidRPr="00BC3040">
        <w:rPr>
          <w:rFonts w:ascii="Times New Roman" w:eastAsia="Times New Roman" w:hAnsi="Times New Roman" w:cs="Times New Roman"/>
          <w:color w:val="222222"/>
          <w:sz w:val="28"/>
          <w:szCs w:val="28"/>
          <w:lang w:eastAsia="ru-RU"/>
        </w:rPr>
        <w:br/>
        <w:t>Договор поручения – это письменное соглашение между поверенным, который принимает на себя обязательства, и доверителем, который передаёт часть своих полномочий, о совершении юридически значимых действий. При этом поверенный может выступать только от имени заказчика, что связано со спецификой правоотношений.</w:t>
      </w:r>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 xml:space="preserve">Оба договора являются возмездными, так как услуги агента </w:t>
      </w:r>
      <w:r w:rsidR="00336877" w:rsidRPr="00BC3040">
        <w:rPr>
          <w:rFonts w:ascii="Times New Roman" w:eastAsia="Times New Roman" w:hAnsi="Times New Roman" w:cs="Times New Roman"/>
          <w:color w:val="222222"/>
          <w:sz w:val="28"/>
          <w:szCs w:val="28"/>
          <w:lang w:eastAsia="ru-RU"/>
        </w:rPr>
        <w:t>поверенного</w:t>
      </w:r>
      <w:r w:rsidRPr="00BC3040">
        <w:rPr>
          <w:rFonts w:ascii="Times New Roman" w:eastAsia="Times New Roman" w:hAnsi="Times New Roman" w:cs="Times New Roman"/>
          <w:color w:val="222222"/>
          <w:sz w:val="28"/>
          <w:szCs w:val="28"/>
          <w:lang w:eastAsia="ru-RU"/>
        </w:rPr>
        <w:t xml:space="preserve"> являются платными. Цена работы может указываться вместе с порядком выплаты, однако данный вопрос не относится к числу существенных условий сделки. Как договор поручения, так и агентский договор могут устанавливать определённый объём полномочий представителя интересов. Агентские отношения шире распространены в бизнесе, где представитель может реализовывать товары или услуги неограниченному количеству покупателей на той или иной территории.</w:t>
      </w:r>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 xml:space="preserve">Что касается поручительства, то этот договор больше характерен для некоммерческих отношений между физическими и юридическими лицами. Доверенность, которую получает поверенный, может использоваться для </w:t>
      </w:r>
      <w:r w:rsidRPr="00BC3040">
        <w:rPr>
          <w:rFonts w:ascii="Times New Roman" w:eastAsia="Times New Roman" w:hAnsi="Times New Roman" w:cs="Times New Roman"/>
          <w:color w:val="222222"/>
          <w:sz w:val="28"/>
          <w:szCs w:val="28"/>
          <w:lang w:eastAsia="ru-RU"/>
        </w:rPr>
        <w:lastRenderedPageBreak/>
        <w:t>совершения сделок, представительства интересов в суде и государственных органах. Речь о вознаграждении идёт только тогда, когда один из субъектов профессионально занимается представительской деятельностью (например, адвокат или юрист).</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Разница между агентским договором и договором поручения заключается в следующем:</w:t>
      </w:r>
    </w:p>
    <w:p w:rsidR="00336877" w:rsidRP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Представительство интересов. По договору поручения, поверенный может действовать только от имени доверителя, по агентскому договору – как от имени заказчика, так и от своего собственного.</w:t>
      </w:r>
    </w:p>
    <w:p w:rsidR="00336877" w:rsidRP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Круг общественных отношений. Поверенный может осуществлять юридически значимые действия, в то время как агент – действия, которые носят фактический характер и не создают правоотношений между заказчиком и третьим лицом.</w:t>
      </w:r>
    </w:p>
    <w:p w:rsidR="00336877" w:rsidRP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Длительность отношений. В соответствии с договором поручения, поверенный наделяется полномочиями на определённый срок. Агентский же договор ориентирован на реализацию определённых задач, а потому носит длительный характер.</w:t>
      </w:r>
    </w:p>
    <w:p w:rsid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Агентирование охватывает совершение не только юридически значимых действий, но и действий фактического характера.</w:t>
      </w:r>
      <w:r w:rsidR="00336877" w:rsidRPr="00BC3040">
        <w:rPr>
          <w:rFonts w:ascii="Times New Roman" w:eastAsia="Times New Roman" w:hAnsi="Times New Roman" w:cs="Times New Roman"/>
          <w:color w:val="222222"/>
          <w:sz w:val="28"/>
          <w:szCs w:val="28"/>
          <w:lang w:eastAsia="ru-RU"/>
        </w:rPr>
        <w:t xml:space="preserve"> </w:t>
      </w:r>
      <w:r w:rsidRPr="00BC3040">
        <w:rPr>
          <w:rFonts w:ascii="Times New Roman" w:eastAsia="Times New Roman" w:hAnsi="Times New Roman" w:cs="Times New Roman"/>
          <w:color w:val="222222"/>
          <w:sz w:val="28"/>
          <w:szCs w:val="28"/>
          <w:lang w:eastAsia="ru-RU"/>
        </w:rPr>
        <w:t>Договор поручения рассчитан на совершение поверенным только юридических действий.</w:t>
      </w:r>
      <w:r w:rsidRPr="00BC3040">
        <w:rPr>
          <w:rFonts w:ascii="Times New Roman" w:eastAsia="Times New Roman" w:hAnsi="Times New Roman" w:cs="Times New Roman"/>
          <w:color w:val="222222"/>
          <w:sz w:val="28"/>
          <w:szCs w:val="28"/>
          <w:lang w:eastAsia="ru-RU"/>
        </w:rPr>
        <w:br/>
      </w: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pStyle w:val="a8"/>
        <w:shd w:val="clear" w:color="auto" w:fill="FFFFFF"/>
        <w:tabs>
          <w:tab w:val="left" w:pos="1134"/>
        </w:tabs>
        <w:spacing w:after="0" w:line="360" w:lineRule="auto"/>
        <w:ind w:left="851"/>
        <w:jc w:val="both"/>
        <w:textAlignment w:val="baseline"/>
        <w:rPr>
          <w:rFonts w:ascii="Times New Roman" w:eastAsia="Times New Roman" w:hAnsi="Times New Roman" w:cs="Times New Roman"/>
          <w:color w:val="222222"/>
          <w:sz w:val="28"/>
          <w:szCs w:val="28"/>
          <w:lang w:eastAsia="ru-RU"/>
        </w:rPr>
      </w:pPr>
    </w:p>
    <w:p w:rsidR="00336877" w:rsidRPr="00BC3040" w:rsidRDefault="00FC0574" w:rsidP="00BC3040">
      <w:pPr>
        <w:pStyle w:val="a8"/>
        <w:shd w:val="clear" w:color="auto" w:fill="FFFFFF"/>
        <w:tabs>
          <w:tab w:val="left" w:pos="1134"/>
        </w:tabs>
        <w:spacing w:after="0" w:line="360" w:lineRule="auto"/>
        <w:ind w:left="0" w:firstLine="851"/>
        <w:jc w:val="both"/>
        <w:textAlignment w:val="baseline"/>
        <w:outlineLvl w:val="0"/>
        <w:rPr>
          <w:rFonts w:ascii="Times New Roman" w:eastAsia="Times New Roman" w:hAnsi="Times New Roman" w:cs="Times New Roman"/>
          <w:b/>
          <w:color w:val="222222"/>
          <w:sz w:val="28"/>
          <w:szCs w:val="28"/>
          <w:lang w:eastAsia="ru-RU"/>
        </w:rPr>
      </w:pPr>
      <w:bookmarkStart w:id="2" w:name="_Toc402209257"/>
      <w:r w:rsidRPr="00BC3040">
        <w:rPr>
          <w:rFonts w:ascii="Times New Roman" w:eastAsia="Times New Roman" w:hAnsi="Times New Roman" w:cs="Times New Roman"/>
          <w:b/>
          <w:color w:val="222222"/>
          <w:sz w:val="28"/>
          <w:szCs w:val="28"/>
          <w:lang w:eastAsia="ru-RU"/>
        </w:rPr>
        <w:lastRenderedPageBreak/>
        <w:t>Вопрос 3. Группа научных сотрудников при изучении окислительно-восстановительных реакций подземных вод установила, что вместе с дождем растворимый в ней атмосферный кислород проникает на большие глубины в подземные воды. Ранее в науке считалось, что кислород содержится лишь в тонком поверхностном слое Земли. По мнению ученых, научное осмысление открытого явления очень важно для правильной постановки поисковых работ. В частности, на его основе может быть разработан принципиально новый метод поиска полезных ископаемых. Ученые обратились за консультацией к юристу-патентоведу относительно закрепления своего приоритета и авторских прав.</w:t>
      </w:r>
      <w:r w:rsidR="00BC3040" w:rsidRPr="00BC3040">
        <w:t xml:space="preserve"> </w:t>
      </w:r>
      <w:r w:rsidR="00BC3040" w:rsidRPr="00BC3040">
        <w:rPr>
          <w:rFonts w:ascii="Times New Roman" w:eastAsia="Times New Roman" w:hAnsi="Times New Roman" w:cs="Times New Roman"/>
          <w:b/>
          <w:color w:val="222222"/>
          <w:sz w:val="28"/>
          <w:szCs w:val="28"/>
          <w:lang w:eastAsia="ru-RU"/>
        </w:rPr>
        <w:t>Какие разъяснения должны быть им даны?</w:t>
      </w:r>
      <w:bookmarkEnd w:id="2"/>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Данное научное открытие не является охраняемым результатом интеллектуальной деятельности. В ст. 1225 ГК РФ содержится перечень результатов интеллектуальной деятельности и приравненных к ним средств индивидуализации юридических лиц, товаров, работ, услуг и предприятий, которым предоставляется правовая охрана. Сделанное учеными открытие не относится к этому перечню и поэтому результат их деятельности нельзя за патентовать. Вот если бы они создали на основе сделанного открытия новый метод постановки поисковых работ, то такой результат интеллектуальной деятельности подлежит правовой охране</w:t>
      </w:r>
      <w:r w:rsidR="00336877" w:rsidRPr="00BC3040">
        <w:rPr>
          <w:rFonts w:ascii="Times New Roman" w:eastAsia="Times New Roman" w:hAnsi="Times New Roman" w:cs="Times New Roman"/>
          <w:color w:val="222222"/>
          <w:sz w:val="28"/>
          <w:szCs w:val="28"/>
          <w:lang w:eastAsia="ru-RU"/>
        </w:rPr>
        <w:t>, и может быть за патентован.</w:t>
      </w: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FC0574" w:rsidP="00BC3040">
      <w:pPr>
        <w:pStyle w:val="1"/>
        <w:spacing w:before="0" w:line="360" w:lineRule="auto"/>
        <w:jc w:val="both"/>
        <w:rPr>
          <w:rFonts w:ascii="Times New Roman" w:eastAsia="Times New Roman" w:hAnsi="Times New Roman" w:cs="Times New Roman"/>
          <w:color w:val="222222"/>
          <w:lang w:eastAsia="ru-RU"/>
        </w:rPr>
      </w:pPr>
      <w:bookmarkStart w:id="3" w:name="_Toc402209258"/>
      <w:r w:rsidRPr="00BC3040">
        <w:rPr>
          <w:rFonts w:ascii="Times New Roman" w:eastAsia="Times New Roman" w:hAnsi="Times New Roman" w:cs="Times New Roman"/>
          <w:color w:val="222222"/>
          <w:lang w:eastAsia="ru-RU"/>
        </w:rPr>
        <w:lastRenderedPageBreak/>
        <w:t>Вопрос 4.</w:t>
      </w:r>
      <w:r w:rsidR="00BC3040">
        <w:rPr>
          <w:rFonts w:ascii="Times New Roman" w:eastAsia="Times New Roman" w:hAnsi="Times New Roman" w:cs="Times New Roman"/>
          <w:color w:val="222222"/>
          <w:lang w:eastAsia="ru-RU"/>
        </w:rPr>
        <w:t xml:space="preserve"> </w:t>
      </w:r>
      <w:r w:rsidRPr="00BC3040">
        <w:rPr>
          <w:rFonts w:ascii="Times New Roman" w:eastAsia="Times New Roman" w:hAnsi="Times New Roman" w:cs="Times New Roman"/>
          <w:color w:val="222222"/>
          <w:lang w:eastAsia="ru-RU"/>
        </w:rPr>
        <w:t>Жена известного художника вскоре после его смерти составила завещание, по которому все имущество оставляла племяннику мужа Иванову, но при этом обязывала его производить ежемесячные пожизненные выплаты в размере не ниже минимальной месячной оплаты труда ее подруге Осетровой, а в их доме организовать музей художника с постоянно действующей</w:t>
      </w:r>
      <w:r w:rsidR="00336877" w:rsidRPr="00BC3040">
        <w:rPr>
          <w:rFonts w:ascii="Times New Roman" w:eastAsia="Times New Roman" w:hAnsi="Times New Roman" w:cs="Times New Roman"/>
          <w:color w:val="222222"/>
          <w:lang w:eastAsia="ru-RU"/>
        </w:rPr>
        <w:t xml:space="preserve"> </w:t>
      </w:r>
      <w:r w:rsidRPr="00BC3040">
        <w:rPr>
          <w:rFonts w:ascii="Times New Roman" w:eastAsia="Times New Roman" w:hAnsi="Times New Roman" w:cs="Times New Roman"/>
          <w:color w:val="222222"/>
          <w:lang w:eastAsia="ru-RU"/>
        </w:rPr>
        <w:t>выставкой его картин. Через два года она умерла.</w:t>
      </w:r>
      <w:bookmarkEnd w:id="3"/>
    </w:p>
    <w:p w:rsidR="00336877" w:rsidRPr="00BC3040" w:rsidRDefault="00FC0574" w:rsidP="00BC3040">
      <w:pPr>
        <w:pStyle w:val="1"/>
        <w:spacing w:before="0" w:line="360" w:lineRule="auto"/>
        <w:ind w:firstLine="851"/>
        <w:jc w:val="both"/>
        <w:rPr>
          <w:rFonts w:ascii="Times New Roman" w:eastAsia="Times New Roman" w:hAnsi="Times New Roman" w:cs="Times New Roman"/>
          <w:color w:val="222222"/>
          <w:lang w:eastAsia="ru-RU"/>
        </w:rPr>
      </w:pPr>
      <w:bookmarkStart w:id="4" w:name="_Toc402209259"/>
      <w:r w:rsidRPr="00BC3040">
        <w:rPr>
          <w:rFonts w:ascii="Times New Roman" w:eastAsia="Times New Roman" w:hAnsi="Times New Roman" w:cs="Times New Roman"/>
          <w:color w:val="222222"/>
          <w:lang w:eastAsia="ru-RU"/>
        </w:rPr>
        <w:t>Иванов, ознакомившись с содержанием завещания, узнал также, что умершая имеет значительную задолженность по ссуде, и потому решил отказаться от наследства.</w:t>
      </w:r>
      <w:bookmarkEnd w:id="4"/>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b/>
          <w:color w:val="222222"/>
          <w:sz w:val="28"/>
          <w:szCs w:val="28"/>
          <w:lang w:eastAsia="ru-RU"/>
        </w:rPr>
      </w:pPr>
      <w:r w:rsidRPr="00BC3040">
        <w:rPr>
          <w:rFonts w:ascii="Times New Roman" w:eastAsia="Times New Roman" w:hAnsi="Times New Roman" w:cs="Times New Roman"/>
          <w:b/>
          <w:color w:val="222222"/>
          <w:sz w:val="28"/>
          <w:szCs w:val="28"/>
          <w:lang w:eastAsia="ru-RU"/>
        </w:rPr>
        <w:t xml:space="preserve"> Осетрова, зная содержание завещания своей подруги, обратилась к Иванову за получением предусмотренных в завещании выплат и потребовала срочно приступить к организации музея в доме художника. Иванов отказался от исполнения ее требований. Других наследников у умершей не было. </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b/>
          <w:color w:val="222222"/>
          <w:sz w:val="28"/>
          <w:szCs w:val="28"/>
          <w:lang w:eastAsia="ru-RU"/>
        </w:rPr>
      </w:pPr>
      <w:r w:rsidRPr="00BC3040">
        <w:rPr>
          <w:rFonts w:ascii="Times New Roman" w:eastAsia="Times New Roman" w:hAnsi="Times New Roman" w:cs="Times New Roman"/>
          <w:b/>
          <w:color w:val="222222"/>
          <w:sz w:val="28"/>
          <w:szCs w:val="28"/>
          <w:lang w:eastAsia="ru-RU"/>
        </w:rPr>
        <w:t>К кому должна обратиться Осет</w:t>
      </w:r>
      <w:r w:rsidR="00BC3040">
        <w:rPr>
          <w:rFonts w:ascii="Times New Roman" w:eastAsia="Times New Roman" w:hAnsi="Times New Roman" w:cs="Times New Roman"/>
          <w:b/>
          <w:color w:val="222222"/>
          <w:sz w:val="28"/>
          <w:szCs w:val="28"/>
          <w:lang w:eastAsia="ru-RU"/>
        </w:rPr>
        <w:t>рова за исполнением завещания? </w:t>
      </w:r>
    </w:p>
    <w:p w:rsidR="007D5D0B" w:rsidRDefault="007D5D0B"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7D5D0B">
        <w:rPr>
          <w:rFonts w:ascii="Times New Roman" w:eastAsia="Times New Roman" w:hAnsi="Times New Roman" w:cs="Times New Roman"/>
          <w:color w:val="222222"/>
          <w:sz w:val="28"/>
          <w:szCs w:val="28"/>
          <w:highlight w:val="yellow"/>
          <w:lang w:eastAsia="ru-RU"/>
        </w:rPr>
        <w:t>Осетрова должна искать родственников умершей , желательно близких и те должны будут получить наследство .</w:t>
      </w:r>
      <w:r w:rsidRPr="007D5D0B">
        <w:rPr>
          <w:rFonts w:ascii="Times New Roman" w:eastAsia="Times New Roman" w:hAnsi="Times New Roman" w:cs="Times New Roman"/>
          <w:color w:val="222222"/>
          <w:sz w:val="28"/>
          <w:szCs w:val="28"/>
          <w:lang w:eastAsia="ru-RU"/>
        </w:rPr>
        <w:t xml:space="preserve"> </w:t>
      </w:r>
    </w:p>
    <w:p w:rsidR="00336877" w:rsidRP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Иванов имеет право отказа от наследства в соответствии с п.1 ст.1157 ГК РФ в пользу других лиц или без указания лиц, в пользу которых он отказывается от наследственного имущества. Но так как других наследников нет, то в соответствии со ст.1151 имущество умершего, считается выморочным и переходит в собственность Российской Федерации. И вследствие этого обязанность по выполнению завещательного отказа в пользу Осетровой переходит на Российскую Федерацию.</w:t>
      </w:r>
    </w:p>
    <w:p w:rsidR="00BC3040" w:rsidRDefault="00FC0574"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 </w:t>
      </w:r>
      <w:r w:rsidRPr="00BC3040">
        <w:rPr>
          <w:rFonts w:ascii="Times New Roman" w:eastAsia="Times New Roman" w:hAnsi="Times New Roman" w:cs="Times New Roman"/>
          <w:color w:val="222222"/>
          <w:sz w:val="28"/>
          <w:szCs w:val="28"/>
          <w:lang w:eastAsia="ru-RU"/>
        </w:rPr>
        <w:br/>
      </w: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BC3040" w:rsidP="00BC3040">
      <w:pPr>
        <w:shd w:val="clear" w:color="auto" w:fill="FFFFFF"/>
        <w:spacing w:after="0" w:line="360" w:lineRule="auto"/>
        <w:ind w:firstLine="851"/>
        <w:jc w:val="both"/>
        <w:textAlignment w:val="baseline"/>
        <w:rPr>
          <w:rFonts w:ascii="Times New Roman" w:eastAsia="Times New Roman" w:hAnsi="Times New Roman" w:cs="Times New Roman"/>
          <w:color w:val="222222"/>
          <w:sz w:val="28"/>
          <w:szCs w:val="28"/>
          <w:lang w:eastAsia="ru-RU"/>
        </w:rPr>
      </w:pPr>
    </w:p>
    <w:p w:rsidR="00BC3040" w:rsidRDefault="00FC0574" w:rsidP="00BC3040">
      <w:pPr>
        <w:pStyle w:val="1"/>
        <w:spacing w:before="0" w:line="360" w:lineRule="auto"/>
        <w:jc w:val="center"/>
        <w:rPr>
          <w:rFonts w:ascii="Times New Roman" w:eastAsia="Times New Roman" w:hAnsi="Times New Roman" w:cs="Times New Roman"/>
          <w:color w:val="222222"/>
          <w:lang w:eastAsia="ru-RU"/>
        </w:rPr>
      </w:pPr>
      <w:r w:rsidRPr="00BC3040">
        <w:rPr>
          <w:rFonts w:ascii="Times New Roman" w:eastAsia="Times New Roman" w:hAnsi="Times New Roman" w:cs="Times New Roman"/>
          <w:color w:val="222222"/>
          <w:lang w:eastAsia="ru-RU"/>
        </w:rPr>
        <w:br/>
      </w:r>
      <w:bookmarkStart w:id="5" w:name="_Toc402209260"/>
      <w:r w:rsidRPr="00BC3040">
        <w:rPr>
          <w:rFonts w:ascii="Times New Roman" w:eastAsia="Times New Roman" w:hAnsi="Times New Roman" w:cs="Times New Roman"/>
          <w:color w:val="222222"/>
          <w:lang w:eastAsia="ru-RU"/>
        </w:rPr>
        <w:t>Список использованной литературы:</w:t>
      </w:r>
      <w:bookmarkEnd w:id="5"/>
    </w:p>
    <w:p w:rsid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Гражданский Кодекс РФ, изд. Норматика, Новосибирск, 2013</w:t>
      </w:r>
    </w:p>
    <w:p w:rsid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Гражданское право: Учебник в 3 т. Т.2, Е.Ю Валявина, И.В.Елисеев, и др. М., Проспект, 2004.</w:t>
      </w:r>
    </w:p>
    <w:p w:rsid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Комментарий к Гражданскому кодексу Российской Федерации, части второй Под ред. А.П. Сергеева. М., 2010</w:t>
      </w:r>
    </w:p>
    <w:p w:rsidR="00BC3040" w:rsidRDefault="00FC0574" w:rsidP="00BC3040">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Комментарий к ГК РФ (учебно-практический) Под ред. С А Степанова. М.; Екатеринбург, 2010.</w:t>
      </w:r>
    </w:p>
    <w:p w:rsidR="00BC3040" w:rsidRPr="007D5D0B" w:rsidRDefault="00FC0574"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СПС «Консультант 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Виговская Е. В. Защита прав интеллектуальной собственности. Проблемы и пути решения. 2009.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Гаврилов Э. П., Еременко В. И. Комментарий к части четвертой Гражданского кодекса Российской Федерации. Постатейный. / М., Экзамен, 2009.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Гришаев С. П. Патентное право (комментарий законодательства. 2008.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Гульбин Ю. Т. Исключительные права на средства индивидуализации товаров - товарные знаки, знаки обслуживания, наименования мест происхождения товаров: гражданско-правовой аспект. М., Статут", 2007.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Интеллектуальная собственность. Актуальные проблемы теории и практики: Сборник научных трудов. Т. 1 / Под ред. В. Н. Лопатина. Издательство "Юрайт", 2008.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Комментарий к Гражданскому кодексу Российской Федерации части четвертой. Постатейный. / Отв. ред. Л. А. Трахтенгерц. М., КОНТРАКТ", "ИНФРА-М", 2009.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lastRenderedPageBreak/>
        <w:t>Комментарий к части четвертой Гражданского кодекса Российской Федерации. Поглавный. / Под ред. А. Л. Маковского. М., Статут. 2008.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Мозолин В. П., Белова Д. А. Особенности правового режима ноу-хау (секрета производства) // Право и экономика. 2009. № 4. // СПС «КонсультантПлюс».</w:t>
      </w:r>
    </w:p>
    <w:p w:rsidR="007D5D0B"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r w:rsidRPr="007D5D0B">
        <w:rPr>
          <w:rFonts w:ascii="Times New Roman" w:eastAsia="Times New Roman" w:hAnsi="Times New Roman" w:cs="Times New Roman"/>
          <w:color w:val="222222"/>
          <w:sz w:val="28"/>
          <w:szCs w:val="28"/>
          <w:highlight w:val="yellow"/>
          <w:lang w:eastAsia="ru-RU"/>
        </w:rPr>
        <w:t>Потрашкова О. А. О правовой природе секретов производства (ноу-хау) // Информационное право. 2008. № 2. // СПС «КонсультантПлюс».</w:t>
      </w:r>
    </w:p>
    <w:p w:rsidR="00BC3040" w:rsidRPr="007D5D0B" w:rsidRDefault="007D5D0B" w:rsidP="007D5D0B">
      <w:pPr>
        <w:pStyle w:val="a8"/>
        <w:numPr>
          <w:ilvl w:val="0"/>
          <w:numId w:val="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color w:val="222222"/>
          <w:sz w:val="28"/>
          <w:szCs w:val="28"/>
          <w:highlight w:val="yellow"/>
          <w:lang w:eastAsia="ru-RU"/>
        </w:rPr>
      </w:pPr>
      <w:bookmarkStart w:id="6" w:name="_GoBack"/>
      <w:bookmarkEnd w:id="6"/>
      <w:r w:rsidRPr="007D5D0B">
        <w:rPr>
          <w:rFonts w:ascii="Times New Roman" w:eastAsia="Times New Roman" w:hAnsi="Times New Roman" w:cs="Times New Roman"/>
          <w:color w:val="222222"/>
          <w:sz w:val="28"/>
          <w:szCs w:val="28"/>
          <w:highlight w:val="yellow"/>
          <w:lang w:eastAsia="ru-RU"/>
        </w:rPr>
        <w:t>Свечникова И. В. Авторское право: Учебное пособие. М., Дашков и К. 2009. // СПС «КонсультантПлюс».</w:t>
      </w:r>
    </w:p>
    <w:p w:rsidR="00FC0574" w:rsidRPr="00BC3040" w:rsidRDefault="00FC0574" w:rsidP="00BC3040">
      <w:pPr>
        <w:shd w:val="clear" w:color="auto" w:fill="FFFFFF"/>
        <w:tabs>
          <w:tab w:val="left" w:pos="1134"/>
        </w:tabs>
        <w:spacing w:after="0" w:line="360" w:lineRule="auto"/>
        <w:ind w:firstLine="851"/>
        <w:jc w:val="both"/>
        <w:textAlignment w:val="baseline"/>
        <w:rPr>
          <w:rFonts w:ascii="Times New Roman" w:eastAsia="Times New Roman" w:hAnsi="Times New Roman" w:cs="Times New Roman"/>
          <w:color w:val="222222"/>
          <w:sz w:val="28"/>
          <w:szCs w:val="28"/>
          <w:lang w:eastAsia="ru-RU"/>
        </w:rPr>
      </w:pPr>
      <w:r w:rsidRPr="00BC3040">
        <w:rPr>
          <w:rFonts w:ascii="Times New Roman" w:eastAsia="Times New Roman" w:hAnsi="Times New Roman" w:cs="Times New Roman"/>
          <w:color w:val="222222"/>
          <w:sz w:val="28"/>
          <w:szCs w:val="28"/>
          <w:lang w:eastAsia="ru-RU"/>
        </w:rPr>
        <w:t>--------------------------------------------</w:t>
      </w:r>
      <w:r w:rsidRPr="00BC3040">
        <w:rPr>
          <w:rFonts w:ascii="Times New Roman" w:eastAsia="Times New Roman" w:hAnsi="Times New Roman" w:cs="Times New Roman"/>
          <w:color w:val="222222"/>
          <w:sz w:val="28"/>
          <w:szCs w:val="28"/>
          <w:lang w:eastAsia="ru-RU"/>
        </w:rPr>
        <w:br/>
        <w:t>[ 2 ]. Комментарий к Гражданскому кодексу Российской Федерации, части второй / Под ред. А.П. Сергеева. М., 2010</w:t>
      </w:r>
      <w:r w:rsidRPr="00BC3040">
        <w:rPr>
          <w:rFonts w:ascii="Times New Roman" w:eastAsia="Times New Roman" w:hAnsi="Times New Roman" w:cs="Times New Roman"/>
          <w:color w:val="222222"/>
          <w:sz w:val="28"/>
          <w:szCs w:val="28"/>
          <w:lang w:eastAsia="ru-RU"/>
        </w:rPr>
        <w:br/>
        <w:t>[ 3 ]. Комментарий к ГК РФ (учебно-практический) / Под ред. С А Степанова. М.; Екатеринбург, 2010.</w:t>
      </w:r>
    </w:p>
    <w:p w:rsidR="00A734ED" w:rsidRPr="00BC3040" w:rsidRDefault="004D3BA7" w:rsidP="00BC3040">
      <w:pPr>
        <w:spacing w:after="0" w:line="360" w:lineRule="auto"/>
        <w:ind w:firstLine="851"/>
        <w:jc w:val="both"/>
        <w:rPr>
          <w:rFonts w:ascii="Times New Roman" w:hAnsi="Times New Roman" w:cs="Times New Roman"/>
          <w:sz w:val="28"/>
          <w:szCs w:val="28"/>
        </w:rPr>
      </w:pPr>
    </w:p>
    <w:sectPr w:rsidR="00A734ED" w:rsidRPr="00BC3040" w:rsidSect="00BC3040">
      <w:footerReference w:type="default" r:id="rId9"/>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BA7" w:rsidRDefault="004D3BA7" w:rsidP="00BC3040">
      <w:pPr>
        <w:spacing w:after="0" w:line="240" w:lineRule="auto"/>
      </w:pPr>
      <w:r>
        <w:separator/>
      </w:r>
    </w:p>
  </w:endnote>
  <w:endnote w:type="continuationSeparator" w:id="0">
    <w:p w:rsidR="004D3BA7" w:rsidRDefault="004D3BA7" w:rsidP="00BC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983632"/>
      <w:docPartObj>
        <w:docPartGallery w:val="Page Numbers (Bottom of Page)"/>
        <w:docPartUnique/>
      </w:docPartObj>
    </w:sdtPr>
    <w:sdtEndPr>
      <w:rPr>
        <w:rFonts w:ascii="Times New Roman" w:hAnsi="Times New Roman" w:cs="Times New Roman"/>
        <w:sz w:val="24"/>
        <w:szCs w:val="28"/>
      </w:rPr>
    </w:sdtEndPr>
    <w:sdtContent>
      <w:p w:rsidR="00BC3040" w:rsidRPr="00BC3040" w:rsidRDefault="00BC3040">
        <w:pPr>
          <w:pStyle w:val="a6"/>
          <w:jc w:val="center"/>
          <w:rPr>
            <w:rFonts w:ascii="Times New Roman" w:hAnsi="Times New Roman" w:cs="Times New Roman"/>
            <w:sz w:val="24"/>
            <w:szCs w:val="28"/>
          </w:rPr>
        </w:pPr>
        <w:r w:rsidRPr="00BC3040">
          <w:rPr>
            <w:rFonts w:ascii="Times New Roman" w:hAnsi="Times New Roman" w:cs="Times New Roman"/>
            <w:sz w:val="24"/>
            <w:szCs w:val="28"/>
          </w:rPr>
          <w:fldChar w:fldCharType="begin"/>
        </w:r>
        <w:r w:rsidRPr="00BC3040">
          <w:rPr>
            <w:rFonts w:ascii="Times New Roman" w:hAnsi="Times New Roman" w:cs="Times New Roman"/>
            <w:sz w:val="24"/>
            <w:szCs w:val="28"/>
          </w:rPr>
          <w:instrText>PAGE   \* MERGEFORMAT</w:instrText>
        </w:r>
        <w:r w:rsidRPr="00BC3040">
          <w:rPr>
            <w:rFonts w:ascii="Times New Roman" w:hAnsi="Times New Roman" w:cs="Times New Roman"/>
            <w:sz w:val="24"/>
            <w:szCs w:val="28"/>
          </w:rPr>
          <w:fldChar w:fldCharType="separate"/>
        </w:r>
        <w:r w:rsidR="004B38B3">
          <w:rPr>
            <w:rFonts w:ascii="Times New Roman" w:hAnsi="Times New Roman" w:cs="Times New Roman"/>
            <w:noProof/>
            <w:sz w:val="24"/>
            <w:szCs w:val="28"/>
          </w:rPr>
          <w:t>1</w:t>
        </w:r>
        <w:r w:rsidRPr="00BC3040">
          <w:rPr>
            <w:rFonts w:ascii="Times New Roman" w:hAnsi="Times New Roman" w:cs="Times New Roman"/>
            <w:sz w:val="24"/>
            <w:szCs w:val="28"/>
          </w:rPr>
          <w:fldChar w:fldCharType="end"/>
        </w:r>
      </w:p>
    </w:sdtContent>
  </w:sdt>
  <w:p w:rsidR="00BC3040" w:rsidRDefault="00BC30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BA7" w:rsidRDefault="004D3BA7" w:rsidP="00BC3040">
      <w:pPr>
        <w:spacing w:after="0" w:line="240" w:lineRule="auto"/>
      </w:pPr>
      <w:r>
        <w:separator/>
      </w:r>
    </w:p>
  </w:footnote>
  <w:footnote w:type="continuationSeparator" w:id="0">
    <w:p w:rsidR="004D3BA7" w:rsidRDefault="004D3BA7" w:rsidP="00BC3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4BB"/>
    <w:multiLevelType w:val="hybridMultilevel"/>
    <w:tmpl w:val="2FCC10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0574"/>
    <w:rsid w:val="00216E48"/>
    <w:rsid w:val="00336877"/>
    <w:rsid w:val="004B38B3"/>
    <w:rsid w:val="004D3BA7"/>
    <w:rsid w:val="007D5D0B"/>
    <w:rsid w:val="007E543F"/>
    <w:rsid w:val="008E1B6F"/>
    <w:rsid w:val="00BC3040"/>
    <w:rsid w:val="00BD0CA6"/>
    <w:rsid w:val="00D4195F"/>
    <w:rsid w:val="00FC0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43F"/>
  </w:style>
  <w:style w:type="paragraph" w:styleId="1">
    <w:name w:val="heading 1"/>
    <w:basedOn w:val="a"/>
    <w:next w:val="a"/>
    <w:link w:val="10"/>
    <w:uiPriority w:val="9"/>
    <w:qFormat/>
    <w:rsid w:val="00BC30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C0574"/>
  </w:style>
  <w:style w:type="character" w:styleId="a3">
    <w:name w:val="Hyperlink"/>
    <w:basedOn w:val="a0"/>
    <w:uiPriority w:val="99"/>
    <w:unhideWhenUsed/>
    <w:rsid w:val="00FC0574"/>
    <w:rPr>
      <w:color w:val="0000FF"/>
      <w:u w:val="single"/>
    </w:rPr>
  </w:style>
  <w:style w:type="paragraph" w:styleId="a4">
    <w:name w:val="header"/>
    <w:basedOn w:val="a"/>
    <w:link w:val="a5"/>
    <w:uiPriority w:val="99"/>
    <w:unhideWhenUsed/>
    <w:rsid w:val="00BC30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3040"/>
  </w:style>
  <w:style w:type="paragraph" w:styleId="a6">
    <w:name w:val="footer"/>
    <w:basedOn w:val="a"/>
    <w:link w:val="a7"/>
    <w:uiPriority w:val="99"/>
    <w:unhideWhenUsed/>
    <w:rsid w:val="00BC30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3040"/>
  </w:style>
  <w:style w:type="character" w:customStyle="1" w:styleId="10">
    <w:name w:val="Заголовок 1 Знак"/>
    <w:basedOn w:val="a0"/>
    <w:link w:val="1"/>
    <w:uiPriority w:val="9"/>
    <w:rsid w:val="00BC3040"/>
    <w:rPr>
      <w:rFonts w:asciiTheme="majorHAnsi" w:eastAsiaTheme="majorEastAsia" w:hAnsiTheme="majorHAnsi" w:cstheme="majorBidi"/>
      <w:b/>
      <w:bCs/>
      <w:color w:val="365F91" w:themeColor="accent1" w:themeShade="BF"/>
      <w:sz w:val="28"/>
      <w:szCs w:val="28"/>
    </w:rPr>
  </w:style>
  <w:style w:type="paragraph" w:styleId="a8">
    <w:name w:val="List Paragraph"/>
    <w:basedOn w:val="a"/>
    <w:uiPriority w:val="34"/>
    <w:qFormat/>
    <w:rsid w:val="00BC3040"/>
    <w:pPr>
      <w:ind w:left="720"/>
      <w:contextualSpacing/>
    </w:pPr>
  </w:style>
  <w:style w:type="paragraph" w:styleId="a9">
    <w:name w:val="TOC Heading"/>
    <w:basedOn w:val="1"/>
    <w:next w:val="a"/>
    <w:uiPriority w:val="39"/>
    <w:unhideWhenUsed/>
    <w:qFormat/>
    <w:rsid w:val="00BC3040"/>
    <w:pPr>
      <w:outlineLvl w:val="9"/>
    </w:pPr>
    <w:rPr>
      <w:lang w:eastAsia="ru-RU"/>
    </w:rPr>
  </w:style>
  <w:style w:type="paragraph" w:styleId="11">
    <w:name w:val="toc 1"/>
    <w:basedOn w:val="a"/>
    <w:next w:val="a"/>
    <w:autoRedefine/>
    <w:uiPriority w:val="39"/>
    <w:unhideWhenUsed/>
    <w:rsid w:val="00BC3040"/>
    <w:pPr>
      <w:spacing w:after="100"/>
    </w:pPr>
  </w:style>
  <w:style w:type="paragraph" w:styleId="aa">
    <w:name w:val="Balloon Text"/>
    <w:basedOn w:val="a"/>
    <w:link w:val="ab"/>
    <w:uiPriority w:val="99"/>
    <w:semiHidden/>
    <w:unhideWhenUsed/>
    <w:rsid w:val="00BC304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C30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740312">
      <w:bodyDiv w:val="1"/>
      <w:marLeft w:val="0"/>
      <w:marRight w:val="0"/>
      <w:marTop w:val="0"/>
      <w:marBottom w:val="0"/>
      <w:divBdr>
        <w:top w:val="none" w:sz="0" w:space="0" w:color="auto"/>
        <w:left w:val="none" w:sz="0" w:space="0" w:color="auto"/>
        <w:bottom w:val="none" w:sz="0" w:space="0" w:color="auto"/>
        <w:right w:val="none" w:sz="0" w:space="0" w:color="auto"/>
      </w:divBdr>
      <w:divsChild>
        <w:div w:id="477845672">
          <w:marLeft w:val="0"/>
          <w:marRight w:val="0"/>
          <w:marTop w:val="0"/>
          <w:marBottom w:val="288"/>
          <w:divBdr>
            <w:top w:val="none" w:sz="0" w:space="0" w:color="auto"/>
            <w:left w:val="none" w:sz="0" w:space="0" w:color="auto"/>
            <w:bottom w:val="none" w:sz="0" w:space="0" w:color="auto"/>
            <w:right w:val="none" w:sz="0" w:space="0" w:color="auto"/>
          </w:divBdr>
        </w:div>
        <w:div w:id="832797668">
          <w:marLeft w:val="0"/>
          <w:marRight w:val="0"/>
          <w:marTop w:val="0"/>
          <w:marBottom w:val="0"/>
          <w:divBdr>
            <w:top w:val="none" w:sz="0" w:space="0" w:color="auto"/>
            <w:left w:val="none" w:sz="0" w:space="0" w:color="auto"/>
            <w:bottom w:val="none" w:sz="0" w:space="0" w:color="auto"/>
            <w:right w:val="none" w:sz="0" w:space="0" w:color="auto"/>
          </w:divBdr>
          <w:divsChild>
            <w:div w:id="1165783029">
              <w:marLeft w:val="0"/>
              <w:marRight w:val="0"/>
              <w:marTop w:val="0"/>
              <w:marBottom w:val="384"/>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1B29-4EF3-45E2-98E1-9C328729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2095</Words>
  <Characters>11942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2014-10-27T15:27:00Z</dcterms:created>
  <dcterms:modified xsi:type="dcterms:W3CDTF">2014-10-27T16:02:00Z</dcterms:modified>
</cp:coreProperties>
</file>