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ru-RU"/>
        </w:rPr>
        <w:id w:val="22626651"/>
        <w:docPartObj>
          <w:docPartGallery w:val="Table of Contents"/>
          <w:docPartUnique/>
        </w:docPartObj>
      </w:sdtPr>
      <w:sdtContent>
        <w:p w:rsidR="00F93B5D" w:rsidRPr="004E5C93" w:rsidRDefault="00F93B5D">
          <w:pPr>
            <w:pStyle w:val="ac"/>
            <w:rPr>
              <w:sz w:val="32"/>
              <w:szCs w:val="32"/>
            </w:rPr>
          </w:pPr>
          <w:r w:rsidRPr="004E5C93">
            <w:rPr>
              <w:rFonts w:ascii="Times New Roman" w:hAnsi="Times New Roman" w:cs="Times New Roman"/>
              <w:b w:val="0"/>
              <w:color w:val="auto"/>
              <w:sz w:val="32"/>
              <w:szCs w:val="32"/>
            </w:rPr>
            <w:t>Оглавление</w:t>
          </w:r>
        </w:p>
        <w:p w:rsidR="004E5C93" w:rsidRPr="004E5C93" w:rsidRDefault="00CF28BB">
          <w:pPr>
            <w:pStyle w:val="12"/>
            <w:tabs>
              <w:tab w:val="right" w:leader="dot" w:pos="9345"/>
            </w:tabs>
            <w:rPr>
              <w:noProof/>
              <w:sz w:val="32"/>
              <w:szCs w:val="32"/>
            </w:rPr>
          </w:pPr>
          <w:r w:rsidRPr="004E5C93">
            <w:rPr>
              <w:sz w:val="32"/>
              <w:szCs w:val="32"/>
            </w:rPr>
            <w:fldChar w:fldCharType="begin"/>
          </w:r>
          <w:r w:rsidR="00F93B5D" w:rsidRPr="004E5C93">
            <w:rPr>
              <w:sz w:val="32"/>
              <w:szCs w:val="32"/>
            </w:rPr>
            <w:instrText xml:space="preserve"> TOC \o "1-3" \h \z \u </w:instrText>
          </w:r>
          <w:r w:rsidRPr="004E5C93">
            <w:rPr>
              <w:sz w:val="32"/>
              <w:szCs w:val="32"/>
            </w:rPr>
            <w:fldChar w:fldCharType="separate"/>
          </w:r>
          <w:hyperlink w:anchor="_Toc379826494" w:history="1">
            <w:r w:rsidR="004E5C93" w:rsidRPr="004E5C93">
              <w:rPr>
                <w:rStyle w:val="a3"/>
                <w:noProof/>
                <w:sz w:val="32"/>
                <w:szCs w:val="32"/>
              </w:rPr>
              <w:t>ВВЕДЕНИЕ</w:t>
            </w:r>
            <w:r w:rsidR="004E5C93" w:rsidRPr="004E5C93">
              <w:rPr>
                <w:noProof/>
                <w:webHidden/>
                <w:sz w:val="32"/>
                <w:szCs w:val="32"/>
              </w:rPr>
              <w:tab/>
            </w:r>
            <w:r w:rsidR="004E5C93" w:rsidRPr="004E5C93">
              <w:rPr>
                <w:noProof/>
                <w:webHidden/>
                <w:sz w:val="32"/>
                <w:szCs w:val="32"/>
              </w:rPr>
              <w:fldChar w:fldCharType="begin"/>
            </w:r>
            <w:r w:rsidR="004E5C93" w:rsidRPr="004E5C93">
              <w:rPr>
                <w:noProof/>
                <w:webHidden/>
                <w:sz w:val="32"/>
                <w:szCs w:val="32"/>
              </w:rPr>
              <w:instrText xml:space="preserve"> PAGEREF _Toc379826494 \h </w:instrText>
            </w:r>
            <w:r w:rsidR="004E5C93" w:rsidRPr="004E5C93">
              <w:rPr>
                <w:noProof/>
                <w:webHidden/>
                <w:sz w:val="32"/>
                <w:szCs w:val="32"/>
              </w:rPr>
            </w:r>
            <w:r w:rsidR="004E5C93" w:rsidRPr="004E5C93">
              <w:rPr>
                <w:noProof/>
                <w:webHidden/>
                <w:sz w:val="32"/>
                <w:szCs w:val="32"/>
              </w:rPr>
              <w:fldChar w:fldCharType="separate"/>
            </w:r>
            <w:r w:rsidR="004E5C93">
              <w:rPr>
                <w:noProof/>
                <w:webHidden/>
                <w:sz w:val="32"/>
                <w:szCs w:val="32"/>
              </w:rPr>
              <w:t>3</w:t>
            </w:r>
            <w:r w:rsidR="004E5C93" w:rsidRPr="004E5C93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4E5C93" w:rsidRPr="004E5C93" w:rsidRDefault="004E5C93">
          <w:pPr>
            <w:pStyle w:val="12"/>
            <w:tabs>
              <w:tab w:val="right" w:leader="dot" w:pos="9345"/>
            </w:tabs>
            <w:rPr>
              <w:noProof/>
              <w:sz w:val="32"/>
              <w:szCs w:val="32"/>
            </w:rPr>
          </w:pPr>
          <w:hyperlink w:anchor="_Toc379826495" w:history="1">
            <w:r w:rsidRPr="004E5C93">
              <w:rPr>
                <w:rStyle w:val="a3"/>
                <w:noProof/>
                <w:sz w:val="32"/>
                <w:szCs w:val="32"/>
              </w:rPr>
              <w:t>ПРИРОДНО-РЕСУРСНЫЙ ПОТЕНЦИАЛ</w:t>
            </w:r>
            <w:r w:rsidRPr="004E5C93">
              <w:rPr>
                <w:noProof/>
                <w:webHidden/>
                <w:sz w:val="32"/>
                <w:szCs w:val="32"/>
              </w:rPr>
              <w:tab/>
            </w:r>
            <w:r w:rsidRPr="004E5C93">
              <w:rPr>
                <w:noProof/>
                <w:webHidden/>
                <w:sz w:val="32"/>
                <w:szCs w:val="32"/>
              </w:rPr>
              <w:fldChar w:fldCharType="begin"/>
            </w:r>
            <w:r w:rsidRPr="004E5C93">
              <w:rPr>
                <w:noProof/>
                <w:webHidden/>
                <w:sz w:val="32"/>
                <w:szCs w:val="32"/>
              </w:rPr>
              <w:instrText xml:space="preserve"> PAGEREF _Toc379826495 \h </w:instrText>
            </w:r>
            <w:r w:rsidRPr="004E5C93">
              <w:rPr>
                <w:noProof/>
                <w:webHidden/>
                <w:sz w:val="32"/>
                <w:szCs w:val="32"/>
              </w:rPr>
            </w:r>
            <w:r w:rsidRPr="004E5C93">
              <w:rPr>
                <w:noProof/>
                <w:webHidden/>
                <w:sz w:val="32"/>
                <w:szCs w:val="32"/>
              </w:rPr>
              <w:fldChar w:fldCharType="separate"/>
            </w:r>
            <w:r>
              <w:rPr>
                <w:noProof/>
                <w:webHidden/>
                <w:sz w:val="32"/>
                <w:szCs w:val="32"/>
              </w:rPr>
              <w:t>5</w:t>
            </w:r>
            <w:r w:rsidRPr="004E5C93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4E5C93" w:rsidRPr="004E5C93" w:rsidRDefault="004E5C93">
          <w:pPr>
            <w:pStyle w:val="12"/>
            <w:tabs>
              <w:tab w:val="right" w:leader="dot" w:pos="9345"/>
            </w:tabs>
            <w:rPr>
              <w:noProof/>
              <w:sz w:val="32"/>
              <w:szCs w:val="32"/>
            </w:rPr>
          </w:pPr>
          <w:hyperlink w:anchor="_Toc379826496" w:history="1">
            <w:r w:rsidRPr="004E5C93">
              <w:rPr>
                <w:rStyle w:val="a3"/>
                <w:noProof/>
                <w:sz w:val="32"/>
                <w:szCs w:val="32"/>
              </w:rPr>
              <w:t>НАСЕЛЕНИЕ</w:t>
            </w:r>
            <w:r w:rsidRPr="004E5C93">
              <w:rPr>
                <w:noProof/>
                <w:webHidden/>
                <w:sz w:val="32"/>
                <w:szCs w:val="32"/>
              </w:rPr>
              <w:tab/>
            </w:r>
            <w:r w:rsidRPr="004E5C93">
              <w:rPr>
                <w:noProof/>
                <w:webHidden/>
                <w:sz w:val="32"/>
                <w:szCs w:val="32"/>
              </w:rPr>
              <w:fldChar w:fldCharType="begin"/>
            </w:r>
            <w:r w:rsidRPr="004E5C93">
              <w:rPr>
                <w:noProof/>
                <w:webHidden/>
                <w:sz w:val="32"/>
                <w:szCs w:val="32"/>
              </w:rPr>
              <w:instrText xml:space="preserve"> PAGEREF _Toc379826496 \h </w:instrText>
            </w:r>
            <w:r w:rsidRPr="004E5C93">
              <w:rPr>
                <w:noProof/>
                <w:webHidden/>
                <w:sz w:val="32"/>
                <w:szCs w:val="32"/>
              </w:rPr>
            </w:r>
            <w:r w:rsidRPr="004E5C93">
              <w:rPr>
                <w:noProof/>
                <w:webHidden/>
                <w:sz w:val="32"/>
                <w:szCs w:val="32"/>
              </w:rPr>
              <w:fldChar w:fldCharType="separate"/>
            </w:r>
            <w:r>
              <w:rPr>
                <w:noProof/>
                <w:webHidden/>
                <w:sz w:val="32"/>
                <w:szCs w:val="32"/>
              </w:rPr>
              <w:t>8</w:t>
            </w:r>
            <w:r w:rsidRPr="004E5C93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4E5C93" w:rsidRPr="004E5C93" w:rsidRDefault="004E5C93">
          <w:pPr>
            <w:pStyle w:val="12"/>
            <w:tabs>
              <w:tab w:val="right" w:leader="dot" w:pos="9345"/>
            </w:tabs>
            <w:rPr>
              <w:noProof/>
              <w:sz w:val="32"/>
              <w:szCs w:val="32"/>
            </w:rPr>
          </w:pPr>
          <w:hyperlink w:anchor="_Toc379826497" w:history="1">
            <w:r w:rsidRPr="004E5C93">
              <w:rPr>
                <w:rStyle w:val="a3"/>
                <w:noProof/>
                <w:sz w:val="32"/>
                <w:szCs w:val="32"/>
              </w:rPr>
              <w:t>ПРОМЫШЛЕННОСТЬ</w:t>
            </w:r>
            <w:r w:rsidRPr="004E5C93">
              <w:rPr>
                <w:noProof/>
                <w:webHidden/>
                <w:sz w:val="32"/>
                <w:szCs w:val="32"/>
              </w:rPr>
              <w:tab/>
            </w:r>
            <w:r w:rsidRPr="004E5C93">
              <w:rPr>
                <w:noProof/>
                <w:webHidden/>
                <w:sz w:val="32"/>
                <w:szCs w:val="32"/>
              </w:rPr>
              <w:fldChar w:fldCharType="begin"/>
            </w:r>
            <w:r w:rsidRPr="004E5C93">
              <w:rPr>
                <w:noProof/>
                <w:webHidden/>
                <w:sz w:val="32"/>
                <w:szCs w:val="32"/>
              </w:rPr>
              <w:instrText xml:space="preserve"> PAGEREF _Toc379826497 \h </w:instrText>
            </w:r>
            <w:r w:rsidRPr="004E5C93">
              <w:rPr>
                <w:noProof/>
                <w:webHidden/>
                <w:sz w:val="32"/>
                <w:szCs w:val="32"/>
              </w:rPr>
            </w:r>
            <w:r w:rsidRPr="004E5C93">
              <w:rPr>
                <w:noProof/>
                <w:webHidden/>
                <w:sz w:val="32"/>
                <w:szCs w:val="32"/>
              </w:rPr>
              <w:fldChar w:fldCharType="separate"/>
            </w:r>
            <w:r>
              <w:rPr>
                <w:noProof/>
                <w:webHidden/>
                <w:sz w:val="32"/>
                <w:szCs w:val="32"/>
              </w:rPr>
              <w:t>10</w:t>
            </w:r>
            <w:r w:rsidRPr="004E5C93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4E5C93" w:rsidRPr="004E5C93" w:rsidRDefault="004E5C93">
          <w:pPr>
            <w:pStyle w:val="12"/>
            <w:tabs>
              <w:tab w:val="right" w:leader="dot" w:pos="9345"/>
            </w:tabs>
            <w:rPr>
              <w:noProof/>
              <w:sz w:val="32"/>
              <w:szCs w:val="32"/>
            </w:rPr>
          </w:pPr>
          <w:hyperlink w:anchor="_Toc379826498" w:history="1">
            <w:r w:rsidRPr="004E5C93">
              <w:rPr>
                <w:rStyle w:val="a3"/>
                <w:noProof/>
                <w:sz w:val="32"/>
                <w:szCs w:val="32"/>
              </w:rPr>
              <w:t>ЗАКЛЮЧЕНИЕ</w:t>
            </w:r>
            <w:r w:rsidRPr="004E5C93">
              <w:rPr>
                <w:noProof/>
                <w:webHidden/>
                <w:sz w:val="32"/>
                <w:szCs w:val="32"/>
              </w:rPr>
              <w:tab/>
            </w:r>
            <w:r w:rsidRPr="004E5C93">
              <w:rPr>
                <w:noProof/>
                <w:webHidden/>
                <w:sz w:val="32"/>
                <w:szCs w:val="32"/>
              </w:rPr>
              <w:fldChar w:fldCharType="begin"/>
            </w:r>
            <w:r w:rsidRPr="004E5C93">
              <w:rPr>
                <w:noProof/>
                <w:webHidden/>
                <w:sz w:val="32"/>
                <w:szCs w:val="32"/>
              </w:rPr>
              <w:instrText xml:space="preserve"> PAGEREF _Toc379826498 \h </w:instrText>
            </w:r>
            <w:r w:rsidRPr="004E5C93">
              <w:rPr>
                <w:noProof/>
                <w:webHidden/>
                <w:sz w:val="32"/>
                <w:szCs w:val="32"/>
              </w:rPr>
            </w:r>
            <w:r w:rsidRPr="004E5C93">
              <w:rPr>
                <w:noProof/>
                <w:webHidden/>
                <w:sz w:val="32"/>
                <w:szCs w:val="32"/>
              </w:rPr>
              <w:fldChar w:fldCharType="separate"/>
            </w:r>
            <w:r>
              <w:rPr>
                <w:noProof/>
                <w:webHidden/>
                <w:sz w:val="32"/>
                <w:szCs w:val="32"/>
              </w:rPr>
              <w:t>14</w:t>
            </w:r>
            <w:r w:rsidRPr="004E5C93">
              <w:rPr>
                <w:noProof/>
                <w:webHidden/>
                <w:sz w:val="32"/>
                <w:szCs w:val="32"/>
              </w:rPr>
              <w:fldChar w:fldCharType="end"/>
            </w:r>
          </w:hyperlink>
        </w:p>
        <w:p w:rsidR="00F93B5D" w:rsidRDefault="00CF28BB">
          <w:r w:rsidRPr="004E5C93">
            <w:rPr>
              <w:sz w:val="32"/>
              <w:szCs w:val="32"/>
            </w:rPr>
            <w:fldChar w:fldCharType="end"/>
          </w:r>
        </w:p>
      </w:sdtContent>
    </w:sdt>
    <w:p w:rsidR="00871AB9" w:rsidRDefault="00871AB9" w:rsidP="00730C2E">
      <w:pPr>
        <w:spacing w:line="360" w:lineRule="auto"/>
      </w:pPr>
      <w:r w:rsidRPr="00730C2E">
        <w:rPr>
          <w:rFonts w:ascii="Times New Roman" w:hAnsi="Times New Roman" w:cs="Times New Roman"/>
          <w:sz w:val="28"/>
          <w:szCs w:val="28"/>
        </w:rPr>
        <w:br w:type="page"/>
      </w:r>
    </w:p>
    <w:p w:rsidR="00477087" w:rsidRPr="00834BFE" w:rsidRDefault="008A3595" w:rsidP="00834BFE">
      <w:pPr>
        <w:pStyle w:val="11"/>
      </w:pPr>
      <w:bookmarkStart w:id="0" w:name="_Toc379826494"/>
      <w:r w:rsidRPr="00834BFE">
        <w:lastRenderedPageBreak/>
        <w:t>ВВЕДЕНИЕ</w:t>
      </w:r>
      <w:bookmarkEnd w:id="0"/>
    </w:p>
    <w:p w:rsidR="00871AB9" w:rsidRPr="00477087" w:rsidRDefault="00871AB9" w:rsidP="00834BFE">
      <w:pPr>
        <w:pStyle w:val="2"/>
      </w:pPr>
      <w:r w:rsidRPr="00871AB9">
        <w:t>Северо-Западный федеральный округ (СЗФО) расположен на севере и северо-западе европейской части России и включает в свой состав 11 субъектов Российской Федерации: республики Карелию и Коми, Архангельскую, Вологодскую, Мурманскую,</w:t>
      </w:r>
      <w:r w:rsidR="00B204C5">
        <w:t xml:space="preserve"> </w:t>
      </w:r>
      <w:r w:rsidRPr="00871AB9">
        <w:t>Ленинградскую, Новгородскую, Псковскую, Калининградскую области, Ненецкий автономный округ, город Санкт-Петербург. Центром округа является город федерального значения Санкт-Петербург.</w:t>
      </w:r>
    </w:p>
    <w:p w:rsidR="00871AB9" w:rsidRPr="00871AB9" w:rsidRDefault="00871AB9" w:rsidP="00834BFE">
      <w:pPr>
        <w:pStyle w:val="2"/>
      </w:pPr>
      <w:proofErr w:type="gramStart"/>
      <w:r w:rsidRPr="00871AB9">
        <w:t>СЗФО занимает выгодное геополитическое положение — граничит с Финляндией, Норвегией, Польшей, Эстонией, Латвией, Литвой, Беларусью, имеет выход в Балтийское, Белое, Баренцево, Карское моря.</w:t>
      </w:r>
      <w:proofErr w:type="gramEnd"/>
    </w:p>
    <w:p w:rsidR="00871AB9" w:rsidRPr="00871AB9" w:rsidRDefault="00871AB9" w:rsidP="00834BFE">
      <w:pPr>
        <w:pStyle w:val="2"/>
      </w:pPr>
      <w:r w:rsidRPr="00871AB9">
        <w:t>Площадь округа составляет 1677,9 тыс. к</w:t>
      </w:r>
      <w:r w:rsidR="00B204C5">
        <w:t>м</w:t>
      </w:r>
      <w:proofErr w:type="gramStart"/>
      <w:r w:rsidR="00B204C5" w:rsidRPr="00B204C5">
        <w:rPr>
          <w:vertAlign w:val="superscript"/>
        </w:rPr>
        <w:t>2</w:t>
      </w:r>
      <w:proofErr w:type="gramEnd"/>
      <w:r w:rsidRPr="00871AB9">
        <w:t xml:space="preserve"> — 10,5% территории России. В СЗФО проживают 14484,5 тыс. человек, из которых городское население — 11844,6 тыс. человек (81,8%). Регион имеет самый высокий показатель урбанизации среди федеральных округов: более 80 % жителей — городские, при этом значительная часть сконцентрирована в крупнейшей в стране Санкт-Петербургской агломерации. Средняя плотность населения в округе — 8,6 человека на 1 </w:t>
      </w:r>
      <w:r w:rsidR="00B204C5">
        <w:t>км</w:t>
      </w:r>
      <w:proofErr w:type="gramStart"/>
      <w:r w:rsidR="00B204C5" w:rsidRPr="00B204C5">
        <w:rPr>
          <w:vertAlign w:val="superscript"/>
        </w:rPr>
        <w:t>2</w:t>
      </w:r>
      <w:proofErr w:type="gramEnd"/>
      <w:r w:rsidRPr="00871AB9">
        <w:t>. Национальный состав неоднороден: большая часть населения — русские, среди других наций преобладают коми, карелы, саами, ненцы.</w:t>
      </w:r>
    </w:p>
    <w:p w:rsidR="00400CFD" w:rsidRDefault="00871AB9" w:rsidP="00834BFE">
      <w:pPr>
        <w:pStyle w:val="2"/>
      </w:pPr>
      <w:r w:rsidRPr="00871AB9">
        <w:t xml:space="preserve">Значительные размеры территории округа определяют разнообразие его природных условий. Преобладает равнинный и слабохолмистый рельеф, переходящий к востоку в горную полосу Северного, Приполярного и Полярного Урала. На севере округа в пределах Кольского полуострова расположены низкогорные массивы </w:t>
      </w:r>
      <w:proofErr w:type="spellStart"/>
      <w:r w:rsidRPr="00871AB9">
        <w:t>Хибинских</w:t>
      </w:r>
      <w:proofErr w:type="spellEnd"/>
      <w:r w:rsidRPr="00871AB9">
        <w:t xml:space="preserve"> и </w:t>
      </w:r>
      <w:proofErr w:type="spellStart"/>
      <w:r w:rsidRPr="00871AB9">
        <w:t>Ловозерских</w:t>
      </w:r>
      <w:proofErr w:type="spellEnd"/>
      <w:r w:rsidRPr="00871AB9">
        <w:t xml:space="preserve"> тундр. Территория округа находится в зонах смешанных лесов, тайги, лесотундры, а также тундры (в районах, примыкающих к побережью Северного Ледовитого океана, и на арктических островах). Значительны водные ресурсы округа, на долю которых приходится почти половина ресурсов европейской части страны. Крупнейшие реки — Северная Двина с притоками </w:t>
      </w:r>
      <w:proofErr w:type="spellStart"/>
      <w:r w:rsidRPr="00871AB9">
        <w:t>Вычегдой</w:t>
      </w:r>
      <w:proofErr w:type="spellEnd"/>
      <w:r w:rsidRPr="00871AB9">
        <w:t xml:space="preserve"> и </w:t>
      </w:r>
      <w:r w:rsidRPr="00871AB9">
        <w:lastRenderedPageBreak/>
        <w:t>Сухоной, а также Печора. Исключительно много озёр, особенно в северо-западной части округа. Здесь находятся крупнейшие озёра Европы — Ладожское и Онежское.</w:t>
      </w:r>
    </w:p>
    <w:p w:rsidR="00F338C2" w:rsidRPr="00400CFD" w:rsidRDefault="00F338C2" w:rsidP="00603988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462D" w:rsidRDefault="00400CFD">
      <w:r>
        <w:rPr>
          <w:noProof/>
        </w:rPr>
        <w:drawing>
          <wp:inline distT="0" distB="0" distL="0" distR="0">
            <wp:extent cx="5895975" cy="4981575"/>
            <wp:effectExtent l="19050" t="0" r="9525" b="0"/>
            <wp:docPr id="1" name="Рисунок 1" descr="map_fo2010_110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p_fo2010_110-1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595" w:rsidRPr="00FA6937" w:rsidRDefault="00400CFD" w:rsidP="00834BFE">
      <w:pPr>
        <w:pStyle w:val="aa"/>
        <w:jc w:val="center"/>
      </w:pPr>
      <w:r>
        <w:t>Рис</w:t>
      </w:r>
      <w:r w:rsidR="00834BFE">
        <w:t>унок</w:t>
      </w:r>
      <w:r>
        <w:t xml:space="preserve"> 1</w:t>
      </w:r>
      <w:r w:rsidR="00834BFE">
        <w:t xml:space="preserve"> – Административно-территориальное деление Северо-западного федерального округа</w:t>
      </w:r>
      <w:r w:rsidR="00FA6937" w:rsidRPr="00FA6937">
        <w:t xml:space="preserve"> </w:t>
      </w:r>
    </w:p>
    <w:p w:rsidR="00FA6937" w:rsidRPr="00FA6937" w:rsidRDefault="00FA6937" w:rsidP="00834BFE">
      <w:pPr>
        <w:pStyle w:val="aa"/>
        <w:jc w:val="center"/>
      </w:pPr>
    </w:p>
    <w:p w:rsidR="00FA6937" w:rsidRPr="00FA6937" w:rsidRDefault="00FA6937" w:rsidP="00834BFE">
      <w:pPr>
        <w:pStyle w:val="aa"/>
        <w:jc w:val="center"/>
      </w:pPr>
    </w:p>
    <w:p w:rsidR="00FA6937" w:rsidRPr="00FA6937" w:rsidRDefault="00FA6937" w:rsidP="00834BFE">
      <w:pPr>
        <w:pStyle w:val="aa"/>
        <w:jc w:val="center"/>
      </w:pPr>
    </w:p>
    <w:p w:rsidR="00654DCC" w:rsidRDefault="00654DCC"/>
    <w:p w:rsidR="00400CFD" w:rsidRDefault="00400CFD"/>
    <w:p w:rsidR="00400CFD" w:rsidRDefault="00400CFD"/>
    <w:p w:rsidR="00834BFE" w:rsidRDefault="00834BFE"/>
    <w:p w:rsidR="008A3595" w:rsidRPr="00834BFE" w:rsidRDefault="00654DCC" w:rsidP="00834BFE">
      <w:pPr>
        <w:pStyle w:val="11"/>
      </w:pPr>
      <w:bookmarkStart w:id="1" w:name="_Toc379826495"/>
      <w:r w:rsidRPr="00834BFE">
        <w:lastRenderedPageBreak/>
        <w:t>ПРИРОДНО-РЕСУРСНЫЙ ПОТЕНЦИАЛ</w:t>
      </w:r>
      <w:bookmarkEnd w:id="1"/>
    </w:p>
    <w:p w:rsidR="00B204C5" w:rsidRPr="00FA6937" w:rsidRDefault="00D24677" w:rsidP="00834BFE">
      <w:pPr>
        <w:pStyle w:val="2"/>
      </w:pPr>
      <w:r w:rsidRPr="00834BFE">
        <w:t xml:space="preserve">Природно-ресурсный потенциал района велик и разнообразен. Минерально-сырьевые ресурсы представлены запасами каменного угля, нефти, природного газа, торфа, гидроэнергетическими ресурсами. Велики запасы алюминиевого, титанового сырья, апатитонефелиновых, а также железных руд и цветных металлов. Выявлены крупнейшие запасы алмазов. Основой экономики района являются крупные лесные ресурсы. Важную роль для решения продовольственной программы страны имеют также рыбные ресурсы. Водные и земельные ресурсы настолько велики, что могут считаться избыточными. Топливно-энергетические ресурсы региона (около 38% прогнозных запасов топливно-энергетических ресурсов европейской части России) представлены крупнейшими запасами нефти, природного газа, угля, горючих сланцев, торфа. </w:t>
      </w:r>
      <w:proofErr w:type="gramStart"/>
      <w:r w:rsidRPr="00834BFE">
        <w:t>В пределах Тимано-Печорской провинции известны 70 нефтяных, газовых, газоконденсатных, нефтегазовых месторождений.</w:t>
      </w:r>
      <w:proofErr w:type="gramEnd"/>
      <w:r w:rsidRPr="00834BFE">
        <w:t xml:space="preserve"> Общие перспективные нефтегазовые площади составляют 600 тыс. км</w:t>
      </w:r>
      <w:proofErr w:type="gramStart"/>
      <w:r w:rsidRPr="00834BFE">
        <w:t>2</w:t>
      </w:r>
      <w:proofErr w:type="gramEnd"/>
      <w:r w:rsidRPr="00834BFE">
        <w:t xml:space="preserve">. Нефтегазовые ресурсы сосредоточены в Республике Коми и Архангельской области. 50% всех запасов нефти и 70% запасов природного газа Тимано-Печорской провинции приходится на территорию Ненецкого автономного округа. Месторождения нефти и газа расположены не только в континентальной области Ненецкого автономного округа, но и на острове Колгуев, в шельфовой зоне Баренцева и Карского морей вплоть до Северных оконечностей Новой Земли. На северо-востоке района расположен Печорский угольный бассейн. В административном отношении он принадлежит Республике Коми и Ненецкому автономному округу Архангельской области. Угли отличаются высоким качеством и теплотворной способностью. В районе выявлены запасы горючих сланцев. Запасы торфа сосредоточены в республиках Коми, Карелии, Мурманской и Архангельской областях. Основная часть торфа используется в качестве топлива, а также в сельском хозяйстве. Металлорудные полезные ископаемые представлены черными, цветными, редкими и благородными </w:t>
      </w:r>
      <w:r w:rsidRPr="00834BFE">
        <w:lastRenderedPageBreak/>
        <w:t>металлами. Балансовые запасы железных руд региона (3,4 млрд. т) составляют около 5% запасов Российской Федерации. Экономический район обеспечен всеми видами минеральных строительных материалов. Во всех областях разведаны месторождения известняков, доломитов, кирпично-черепич</w:t>
      </w:r>
      <w:r w:rsidR="00603988" w:rsidRPr="00834BFE">
        <w:t xml:space="preserve">ных и керамзитовых глин, </w:t>
      </w:r>
      <w:proofErr w:type="spellStart"/>
      <w:r w:rsidR="00603988" w:rsidRPr="00834BFE">
        <w:t>валунно-гранитно-песчаных</w:t>
      </w:r>
      <w:proofErr w:type="spellEnd"/>
      <w:r w:rsidRPr="00834BFE">
        <w:t xml:space="preserve"> материалов и песков, облицовочных и строительных камней и других строительных материалов. На территории Архангельской области разведаны и подготовлены для открытой разработки до глубины 460 м крупные месторождения алмазов. Однако месторождения отличаются сложными гидрогеологическими условиями добычи. В целом минерально-сырьевая база региона характеризуется высокой степенью геолого-географической изученности территории, компактным размещением важнейших видов минерального сырья, дающим возможность многоотраслевой специализации, долговременной обеспеченностью разведанными запасами действующих и проектируемых предприятий. Лес - одно из основных природных богатств Севера. Экономический район относится к основным лесопокрытым регионам страны. Его лесопокрытая площадь занимает 75,8 млн. га. Общие запасы древесины составляют 7,4.млрд. м3, в том числе спелых и перестойных насаждений 4,9 млрд. м3. Характерной особенностью лесов является преобладание ценных хвойных пород (ель, сосна), удельный вес которых составляет 81% лесопокрытой площади. В лесах района имеются значительные запасы ягод, грибов, лекарственного сырья. К недостаткам использования лесных ресурсов следует отнести значительные потери древесного сырья при заготовке, транспортировке и переработке, низкие темпы восстановления, слабое использование лиственной древесины, недостаточно развитую сеть дорог, невысокий уровень развития и внедрения современных технологий для более рационального использования древесины. Северный экономический район относится к наиболее водообеспеченным районам страны. Запасы водных ресурсов составляют 513 км</w:t>
      </w:r>
      <w:proofErr w:type="gramStart"/>
      <w:r w:rsidRPr="00834BFE">
        <w:t>2</w:t>
      </w:r>
      <w:proofErr w:type="gramEnd"/>
      <w:r w:rsidRPr="00834BFE">
        <w:t xml:space="preserve">, что значительно превышает средние по стране показатели. По цельной </w:t>
      </w:r>
      <w:r w:rsidRPr="00834BFE">
        <w:lastRenderedPageBreak/>
        <w:t>водообеспеченности на 1 жителя Северный район занимает лидирующее положение среди всех экономических районов европейской части. Району принадлежит 34% водных ресурсов России. Водные ресурсы - источник водообеспечения населения и отраслей хозяйства, используются в качестве лесосплавных и транспортных путей, рекреационных и рыбохозяйственных объектов, служат приемниками сбрасываемых сточных и дренажных вод. Наиболее водоемкими отраслями являются лесная, деревообрабатывающая и целлюлозно-бумажная промышленность, а также электроэнергетика. Район располагает значительными земельными ресурсами, большая часть которых используется слабо. Земельный фонд района составляет около 230 млн. га. Основные площади заняты лесами и оленьими пастбищами. На долю сельскохозяйственных угодий приходится лишь 2,2%, что свидетельствует о недостаточной сельскохозяйственной освоенности земельного фонда региона. В перспективе приоритетное значение для развития экономики района будут иметь рациональное использование природных ресурсов и охрана окружающей среды. Это связано с тем, что добыча и переработка полезных ископаемых оказали неблагоприятное влияние на окружающую среду: горными работами и отвалами нарушались и отчуждались земли, загрязнялись поверхностные и грунтовые воды, атмосфера и почвы. Основными источниками загрязнения окружающей среды являются предприятия черной и цветной металлургии, а</w:t>
      </w:r>
      <w:r>
        <w:t xml:space="preserve"> также предприятия горно</w:t>
      </w:r>
      <w:r w:rsidRPr="00D24677">
        <w:t>промышленного и лесопромышленного комплексов.</w:t>
      </w:r>
      <w:r w:rsidR="00FA6937" w:rsidRPr="00FA6937">
        <w:t xml:space="preserve"> [</w:t>
      </w:r>
      <w:r w:rsidR="00DC1A48">
        <w:t>1</w:t>
      </w:r>
      <w:r w:rsidR="00FA6937" w:rsidRPr="00FA6937">
        <w:t>]</w:t>
      </w:r>
    </w:p>
    <w:p w:rsidR="00B204C5" w:rsidRDefault="00B204C5" w:rsidP="00834BFE">
      <w:pPr>
        <w:pStyle w:val="2"/>
      </w:pPr>
      <w:r>
        <w:br w:type="page"/>
      </w:r>
    </w:p>
    <w:p w:rsidR="008A3595" w:rsidRPr="00834BFE" w:rsidRDefault="00654DCC" w:rsidP="00834BFE">
      <w:pPr>
        <w:pStyle w:val="11"/>
      </w:pPr>
      <w:bookmarkStart w:id="2" w:name="_Toc379826496"/>
      <w:r w:rsidRPr="00834BFE">
        <w:lastRenderedPageBreak/>
        <w:t>НАСЕЛЕНИЕ</w:t>
      </w:r>
      <w:bookmarkEnd w:id="2"/>
    </w:p>
    <w:p w:rsidR="002A23F0" w:rsidRPr="001B4DC7" w:rsidRDefault="002A23F0" w:rsidP="00834BFE">
      <w:pPr>
        <w:pStyle w:val="2"/>
        <w:rPr>
          <w:rFonts w:eastAsia="TimesNewRoman"/>
          <w:lang w:eastAsia="en-US"/>
        </w:rPr>
      </w:pPr>
      <w:r w:rsidRPr="00DB2CB6">
        <w:rPr>
          <w:rFonts w:eastAsia="TimesNewRoman"/>
          <w:lang w:eastAsia="en-US"/>
        </w:rPr>
        <w:t>Население СЗФО на 1 января 2011 года составляет 13.6 млн. человек, или</w:t>
      </w:r>
      <w:r w:rsidR="00DB2CB6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9.5% населения</w:t>
      </w:r>
      <w:r w:rsidR="00DB2CB6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Российской Федерации. Почти 50% населения округа проживает в Санкт-Петербурге и</w:t>
      </w:r>
      <w:r w:rsidR="00DB2CB6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Ленинградской области (соответственно 35.6% и 12.6%).</w:t>
      </w:r>
      <w:r w:rsidR="00DB2CB6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СЗФО характеризуется высоким уровнем урбанизации. На долю городских жителей</w:t>
      </w:r>
      <w:r w:rsidR="00DB2CB6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приходится 83.6% населения округа (77.8% по</w:t>
      </w:r>
      <w:r w:rsidR="00DB2CB6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стране в целом), что является самым высоким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показателем среди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федеральных округов. Вместе с тем в ряде субъектов РФ, входящих в состав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СЗФО, доля городских жителей относительно невысока. Ниже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общероссийского данный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показатель в Ленинградской области, Ненецком автономном округе, Псковской, Новгородской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и Вологодской областях</w:t>
      </w:r>
      <w:r w:rsidR="00DB2CB6">
        <w:rPr>
          <w:rFonts w:eastAsia="TimesNewRoman"/>
          <w:lang w:eastAsia="en-US"/>
        </w:rPr>
        <w:t xml:space="preserve">. </w:t>
      </w:r>
      <w:r w:rsidR="00DB2CB6" w:rsidRPr="00DB2CB6">
        <w:rPr>
          <w:rFonts w:eastAsia="TimesNewRoman"/>
          <w:lang w:eastAsia="en-US"/>
        </w:rPr>
        <w:t>Самый высокий уровень урбанизации, за исключением Санкт-Петербурга, в Мурманской области.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Население СЗФО, как и по стране в целом, в последние годы сокращается. По итогам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2010 года коэффициент естественного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прироста</w:t>
      </w:r>
      <w:proofErr w:type="gramStart"/>
      <w:r w:rsidR="00DB2CB6" w:rsidRPr="00DB2CB6">
        <w:rPr>
          <w:rFonts w:eastAsia="TimesNewRoman"/>
          <w:lang w:eastAsia="en-US"/>
        </w:rPr>
        <w:t xml:space="preserve"> (+)</w:t>
      </w:r>
      <w:r w:rsidR="003726D4">
        <w:rPr>
          <w:rFonts w:eastAsia="TimesNewRoman"/>
          <w:lang w:eastAsia="en-US"/>
        </w:rPr>
        <w:t xml:space="preserve"> </w:t>
      </w:r>
      <w:proofErr w:type="gramEnd"/>
      <w:r w:rsidR="003726D4">
        <w:rPr>
          <w:rFonts w:eastAsia="TimesNewRoman"/>
          <w:lang w:eastAsia="en-US"/>
        </w:rPr>
        <w:t>и</w:t>
      </w:r>
      <w:r w:rsidR="00DB2CB6" w:rsidRPr="00DB2CB6">
        <w:rPr>
          <w:rFonts w:eastAsia="TimesNewRoman"/>
          <w:lang w:eastAsia="en-US"/>
        </w:rPr>
        <w:t xml:space="preserve"> убыли (-) населения в СЗФО составил –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3.5. Данный показатель один из самых низких среди всех федеральных округов (ниже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только в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Центральном федеральном округе). В то же время в последнее время демографические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показатели СЗФО улучшаются. Коэффициент естественного прироста</w:t>
      </w:r>
      <w:proofErr w:type="gramStart"/>
      <w:r w:rsidR="00DB2CB6" w:rsidRPr="00DB2CB6">
        <w:rPr>
          <w:rFonts w:eastAsia="TimesNewRoman"/>
          <w:lang w:eastAsia="en-US"/>
        </w:rPr>
        <w:t xml:space="preserve"> (+)</w:t>
      </w:r>
      <w:r w:rsidR="003726D4">
        <w:rPr>
          <w:rFonts w:eastAsia="TimesNewRoman"/>
          <w:lang w:eastAsia="en-US"/>
        </w:rPr>
        <w:t xml:space="preserve"> </w:t>
      </w:r>
      <w:proofErr w:type="gramEnd"/>
      <w:r w:rsidR="003726D4">
        <w:rPr>
          <w:rFonts w:eastAsia="TimesNewRoman"/>
          <w:lang w:eastAsia="en-US"/>
        </w:rPr>
        <w:t>и</w:t>
      </w:r>
      <w:r w:rsidR="00DB2CB6" w:rsidRPr="00DB2CB6">
        <w:rPr>
          <w:rFonts w:eastAsia="TimesNewRoman"/>
          <w:lang w:eastAsia="en-US"/>
        </w:rPr>
        <w:t xml:space="preserve"> убыли (-) населения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улучшился с -3.9 в 2009 году до -3.5 в 2010 году</w:t>
      </w:r>
      <w:r w:rsidR="003726D4">
        <w:rPr>
          <w:rFonts w:eastAsia="TimesNewRoman"/>
          <w:lang w:eastAsia="en-US"/>
        </w:rPr>
        <w:t>.</w:t>
      </w:r>
      <w:r w:rsidR="00DB2CB6" w:rsidRPr="00DB2CB6">
        <w:rPr>
          <w:rFonts w:eastAsia="TimesNewRoman"/>
          <w:lang w:eastAsia="en-US"/>
        </w:rPr>
        <w:t xml:space="preserve"> </w:t>
      </w:r>
      <w:r w:rsidR="003726D4">
        <w:rPr>
          <w:rFonts w:eastAsia="TimesNewRoman"/>
          <w:lang w:eastAsia="en-US"/>
        </w:rPr>
        <w:t>К</w:t>
      </w:r>
      <w:r w:rsidR="00DB2CB6" w:rsidRPr="00DB2CB6">
        <w:rPr>
          <w:rFonts w:eastAsia="TimesNewRoman"/>
          <w:lang w:eastAsia="en-US"/>
        </w:rPr>
        <w:t>оэффициент рождаемости вырос с 11.3 до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11.6, а коэффициент смертности снизился с 15.2 до 15.1. Среди регионов СЗФО самая высокая естественная убыль населения в Псковской области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(-10.6), самая низкая – в Республике Коми (-0.2). При этом в Ненецком автономном округе по</w:t>
      </w:r>
      <w:r w:rsidR="00DB2CB6">
        <w:rPr>
          <w:rFonts w:eastAsia="TimesNewRoman"/>
          <w:lang w:eastAsia="en-US"/>
        </w:rPr>
        <w:t xml:space="preserve"> </w:t>
      </w:r>
      <w:r w:rsidR="00DB2CB6" w:rsidRPr="00DB2CB6">
        <w:rPr>
          <w:rFonts w:eastAsia="TimesNewRoman"/>
          <w:lang w:eastAsia="en-US"/>
        </w:rPr>
        <w:t>итогам 2010 года зафиксирован естественный прирост населения.</w:t>
      </w:r>
      <w:r w:rsidR="00FA6937" w:rsidRPr="00FA6937">
        <w:rPr>
          <w:rFonts w:eastAsia="TimesNewRoman"/>
          <w:lang w:eastAsia="en-US"/>
        </w:rPr>
        <w:t xml:space="preserve"> </w:t>
      </w:r>
      <w:r w:rsidR="00FA6937" w:rsidRPr="001B4DC7">
        <w:rPr>
          <w:rFonts w:eastAsia="TimesNewRoman"/>
          <w:lang w:eastAsia="en-US"/>
        </w:rPr>
        <w:t>[</w:t>
      </w:r>
      <w:r w:rsidR="00DC1A48">
        <w:t>5</w:t>
      </w:r>
      <w:r w:rsidR="00FA6937" w:rsidRPr="001B4DC7">
        <w:rPr>
          <w:rFonts w:eastAsia="TimesNewRoman"/>
          <w:lang w:eastAsia="en-US"/>
        </w:rPr>
        <w:t>]</w:t>
      </w:r>
    </w:p>
    <w:p w:rsidR="00DB2CB6" w:rsidRPr="00DB2CB6" w:rsidRDefault="00DB2CB6" w:rsidP="00834BFE">
      <w:pPr>
        <w:pStyle w:val="2"/>
        <w:rPr>
          <w:rFonts w:eastAsia="TimesNewRoman"/>
          <w:lang w:eastAsia="en-US"/>
        </w:rPr>
      </w:pPr>
      <w:r w:rsidRPr="00DB2CB6">
        <w:rPr>
          <w:rFonts w:eastAsia="TimesNewRoman"/>
          <w:lang w:eastAsia="en-US"/>
        </w:rPr>
        <w:t>Денежные доходы населения СЗФО находятся на среднем уровне. По итогам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2010 года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среднедушевые денежные до</w:t>
      </w:r>
      <w:r w:rsidR="003726D4">
        <w:rPr>
          <w:rFonts w:eastAsia="TimesNewRoman"/>
          <w:lang w:eastAsia="en-US"/>
        </w:rPr>
        <w:t xml:space="preserve">ходы населения в СЗФО составили </w:t>
      </w:r>
      <w:r w:rsidRPr="00DB2CB6">
        <w:rPr>
          <w:rFonts w:eastAsia="TimesNewRoman"/>
          <w:lang w:eastAsia="en-US"/>
        </w:rPr>
        <w:t>19.7 тыс. руб. в месяц, что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несколько выше, чем по стране в целом (18.6 тыс. руб.). По данному показателю округ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занимает 4-е место после Центрального, Уральского и Дальневосточного федеральных округов.</w:t>
      </w:r>
      <w:r>
        <w:rPr>
          <w:rFonts w:eastAsia="TimesNewRoman"/>
          <w:lang w:eastAsia="en-US"/>
        </w:rPr>
        <w:t xml:space="preserve"> </w:t>
      </w:r>
      <w:r w:rsidR="003726D4">
        <w:rPr>
          <w:rFonts w:eastAsia="TimesNewRoman"/>
          <w:lang w:eastAsia="en-US"/>
        </w:rPr>
        <w:t xml:space="preserve">Самые </w:t>
      </w:r>
      <w:r w:rsidR="003726D4">
        <w:rPr>
          <w:rFonts w:eastAsia="TimesNewRoman"/>
          <w:lang w:eastAsia="en-US"/>
        </w:rPr>
        <w:lastRenderedPageBreak/>
        <w:t xml:space="preserve">высокие </w:t>
      </w:r>
      <w:r w:rsidRPr="00DB2CB6">
        <w:rPr>
          <w:rFonts w:eastAsia="TimesNewRoman"/>
          <w:lang w:eastAsia="en-US"/>
        </w:rPr>
        <w:t>денежные доходы населения в Ненецком автономном округе (48.7 тыс. руб.).</w:t>
      </w:r>
    </w:p>
    <w:p w:rsidR="00891FF9" w:rsidRDefault="00DB2CB6" w:rsidP="00834BFE">
      <w:pPr>
        <w:pStyle w:val="2"/>
        <w:rPr>
          <w:rFonts w:eastAsia="TimesNewRoman"/>
          <w:lang w:eastAsia="en-US"/>
        </w:rPr>
      </w:pPr>
      <w:r w:rsidRPr="00DB2CB6">
        <w:rPr>
          <w:rFonts w:eastAsia="TimesNewRoman"/>
          <w:lang w:eastAsia="en-US"/>
        </w:rPr>
        <w:t>Помимо этого субъекта РФ, денежные доходы выше средне</w:t>
      </w:r>
      <w:r w:rsidR="003726D4">
        <w:rPr>
          <w:rFonts w:eastAsia="TimesNewRoman"/>
          <w:lang w:eastAsia="en-US"/>
        </w:rPr>
        <w:t xml:space="preserve">го </w:t>
      </w:r>
      <w:r w:rsidRPr="00DB2CB6">
        <w:rPr>
          <w:rFonts w:eastAsia="TimesNewRoman"/>
          <w:lang w:eastAsia="en-US"/>
        </w:rPr>
        <w:t>российского уровня были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зафиксированы в Санкт-Петербурге, Мурманской области, Республике Коми и Архангельской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области. Самые низкие денежные доходы населения в Псковской области. По данным Росстата, по итогам 2009 года из всех субъектов РФ, входящих в СЗФО,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только в Санкт-Петербурге, Калининградской, Ленинградской областях и Ненецком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автономном округе доля населения с доходами ниже прожиточного минимума была меньше,</w:t>
      </w:r>
      <w:r w:rsidR="00DB7BD2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чем по стране в целом. В остальных регионах данный показатель хуже общероссийского. Самая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высокая доля населения с доходами н</w:t>
      </w:r>
      <w:r w:rsidR="003726D4">
        <w:rPr>
          <w:rFonts w:eastAsia="TimesNewRoman"/>
          <w:lang w:eastAsia="en-US"/>
        </w:rPr>
        <w:t xml:space="preserve">иже </w:t>
      </w:r>
      <w:r w:rsidRPr="00DB2CB6">
        <w:rPr>
          <w:rFonts w:eastAsia="TimesNewRoman"/>
          <w:lang w:eastAsia="en-US"/>
        </w:rPr>
        <w:t>прожиточного минимума в Новгородской области. В 2010 году реальные доходы населения в СЗФО увеличились на 106%. Темпы роста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были выше общероссийского уровня (103.8%). Наиболее реальные доходы</w:t>
      </w:r>
      <w:r w:rsidR="003726D4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 xml:space="preserve">населения выросли </w:t>
      </w:r>
      <w:r>
        <w:rPr>
          <w:rFonts w:eastAsia="TimesNewRoman"/>
          <w:lang w:eastAsia="en-US"/>
        </w:rPr>
        <w:t xml:space="preserve">в </w:t>
      </w:r>
      <w:r w:rsidRPr="00DB2CB6">
        <w:rPr>
          <w:rFonts w:eastAsia="TimesNewRoman"/>
          <w:lang w:eastAsia="en-US"/>
        </w:rPr>
        <w:t>Санкт-Петербурге и Ленинградской области</w:t>
      </w:r>
      <w:r w:rsidR="003726D4">
        <w:rPr>
          <w:rFonts w:eastAsia="TimesNewRoman"/>
          <w:lang w:eastAsia="en-US"/>
        </w:rPr>
        <w:t xml:space="preserve">, а снизились в </w:t>
      </w:r>
      <w:r w:rsidRPr="00DB2CB6">
        <w:rPr>
          <w:rFonts w:eastAsia="TimesNewRoman"/>
          <w:lang w:eastAsia="en-US"/>
        </w:rPr>
        <w:t>Ненецком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автономном округе. Позитивное влияние на социальную ситуацию оказывает относительно невысокий</w:t>
      </w:r>
      <w:r>
        <w:rPr>
          <w:rFonts w:eastAsia="TimesNewRoman"/>
          <w:lang w:eastAsia="en-US"/>
        </w:rPr>
        <w:t xml:space="preserve"> </w:t>
      </w:r>
      <w:r w:rsidR="003726D4">
        <w:rPr>
          <w:rFonts w:eastAsia="TimesNewRoman"/>
          <w:lang w:eastAsia="en-US"/>
        </w:rPr>
        <w:t xml:space="preserve">уровень безработицы. По этому </w:t>
      </w:r>
      <w:r w:rsidRPr="00DB2CB6">
        <w:rPr>
          <w:rFonts w:eastAsia="TimesNewRoman"/>
          <w:lang w:eastAsia="en-US"/>
        </w:rPr>
        <w:t>показателю СЗФО занимает второе место после Центрального</w:t>
      </w:r>
      <w:r w:rsidR="003726D4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федерального округа. По тогам 2010 года уровень безработицы в СЗФО составил 6.2%, что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ниже общероссийского уровня (7.5%).</w:t>
      </w:r>
      <w:r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Самый низкий уровень безработицы в Санкт-Петербурге, Ленинградской и Новгородской</w:t>
      </w:r>
      <w:r w:rsidR="003726D4">
        <w:rPr>
          <w:rFonts w:eastAsia="TimesNewRoman"/>
          <w:lang w:eastAsia="en-US"/>
        </w:rPr>
        <w:t xml:space="preserve"> </w:t>
      </w:r>
      <w:r w:rsidRPr="00DB2CB6">
        <w:rPr>
          <w:rFonts w:eastAsia="TimesNewRoman"/>
          <w:lang w:eastAsia="en-US"/>
        </w:rPr>
        <w:t>областях. Самый высокий (более 10%) в Калининградской области и Республике Коми.</w:t>
      </w:r>
      <w:r w:rsidR="00CF2E2C" w:rsidRPr="00CF2E2C">
        <w:rPr>
          <w:rFonts w:eastAsia="TimesNewRoman"/>
          <w:lang w:eastAsia="en-US"/>
        </w:rPr>
        <w:t xml:space="preserve"> [</w:t>
      </w:r>
      <w:r w:rsidR="00B23D46">
        <w:t>3</w:t>
      </w:r>
      <w:r w:rsidR="00CF2E2C" w:rsidRPr="001B4DC7">
        <w:rPr>
          <w:rFonts w:eastAsia="TimesNewRoman"/>
          <w:lang w:eastAsia="en-US"/>
        </w:rPr>
        <w:t>]</w:t>
      </w:r>
      <w:r w:rsidRPr="00DB2CB6">
        <w:rPr>
          <w:rFonts w:eastAsia="TimesNewRoman"/>
          <w:lang w:eastAsia="en-US"/>
        </w:rPr>
        <w:t xml:space="preserve"> </w:t>
      </w:r>
    </w:p>
    <w:p w:rsidR="00891FF9" w:rsidRDefault="00891FF9" w:rsidP="00834BFE">
      <w:pPr>
        <w:pStyle w:val="2"/>
        <w:rPr>
          <w:rFonts w:eastAsia="TimesNewRoman"/>
          <w:lang w:eastAsia="en-US"/>
        </w:rPr>
      </w:pPr>
      <w:r>
        <w:rPr>
          <w:rFonts w:eastAsia="TimesNewRoman"/>
          <w:lang w:eastAsia="en-US"/>
        </w:rPr>
        <w:br w:type="page"/>
      </w:r>
    </w:p>
    <w:p w:rsidR="00DB2CB6" w:rsidRPr="00834BFE" w:rsidRDefault="00654DCC" w:rsidP="00834BFE">
      <w:pPr>
        <w:pStyle w:val="11"/>
      </w:pPr>
      <w:bookmarkStart w:id="3" w:name="_Toc379826497"/>
      <w:r w:rsidRPr="00834BFE">
        <w:lastRenderedPageBreak/>
        <w:t>ПРОМЫШЛЕННОСТЬ</w:t>
      </w:r>
      <w:bookmarkEnd w:id="3"/>
    </w:p>
    <w:p w:rsidR="00891FF9" w:rsidRPr="00891FF9" w:rsidRDefault="00891FF9" w:rsidP="00834BFE">
      <w:pPr>
        <w:pStyle w:val="2"/>
        <w:rPr>
          <w:rFonts w:eastAsia="TimesNewRoman"/>
          <w:lang w:eastAsia="en-US"/>
        </w:rPr>
      </w:pPr>
      <w:r w:rsidRPr="00834BFE">
        <w:rPr>
          <w:rFonts w:eastAsia="TimesNewRoman"/>
        </w:rPr>
        <w:t xml:space="preserve">СЗФО характеризуется высоким уровнем </w:t>
      </w:r>
      <w:r w:rsidR="00DB7BD2" w:rsidRPr="00834BFE">
        <w:rPr>
          <w:rFonts w:eastAsia="TimesNewRoman"/>
        </w:rPr>
        <w:t>дифференциации</w:t>
      </w:r>
      <w:r w:rsidRPr="00834BFE">
        <w:rPr>
          <w:rFonts w:eastAsia="TimesNewRoman"/>
        </w:rPr>
        <w:t xml:space="preserve"> в области развития инфраструктуры и освоенности территории. В частности, плотность населения в субъектах РФ, входящих в СЗФО, изменяется в диапазоне от более 3 тыс. человек на 1 кв. км территории до менее 1 человека на 1 кв. км территории. Такая же ситуация наблюдается в сфере автомобильных и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 xml:space="preserve">железных дорог. При этом значения показателей по округу в целом близки к общероссийскому уровню. Плотность населения в СЗФО составляет 8.1 человек на 1 кв. км территории (8.4 человека по стране в целом). </w:t>
      </w:r>
      <w:proofErr w:type="gramStart"/>
      <w:r w:rsidRPr="00834BFE">
        <w:rPr>
          <w:rFonts w:eastAsia="TimesNewRoman"/>
        </w:rPr>
        <w:t>Густота автомобильных дорог общего пользования с твердым покрытием в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СЗФО составляет 45 км на 1тыс. кв. км территории (38 км на 1 тыс. кв. км территории по стране в целом), а густота железнодорожных путей общего пользования – 28 км путей на 10 тыс. кв. км территории (50 км путей на 10 тыс. кв. км территории).</w:t>
      </w:r>
      <w:proofErr w:type="gramEnd"/>
      <w:r w:rsidRPr="00834BFE">
        <w:rPr>
          <w:rFonts w:eastAsia="TimesNewRoman"/>
        </w:rPr>
        <w:t xml:space="preserve"> По плотности автомобильных и железных дорог СЗФО занимает 4-е место, после Центрального, Южного и Приволжского федеральных округов. Если рассмотреть показатели плотности населения, а также плотность автомобильных и железных дорог по субъектам РФ</w:t>
      </w:r>
      <w:r w:rsidR="007C0D66" w:rsidRPr="00834BFE">
        <w:rPr>
          <w:rFonts w:eastAsia="TimesNewRoman"/>
        </w:rPr>
        <w:t xml:space="preserve">, </w:t>
      </w:r>
      <w:r w:rsidRPr="00834BFE">
        <w:rPr>
          <w:rFonts w:eastAsia="TimesNewRoman"/>
        </w:rPr>
        <w:t>входящим в СЗФО, то, как уже было отмечено, видны</w:t>
      </w:r>
      <w:r w:rsidR="007C0D66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существенные</w:t>
      </w:r>
      <w:r w:rsidR="007C0D66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различия в региональном разрезе. Явным лидером по данным показателям</w:t>
      </w:r>
      <w:r w:rsidR="007C0D66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 xml:space="preserve">является </w:t>
      </w:r>
      <w:proofErr w:type="gramStart"/>
      <w:r w:rsidRPr="00834BFE">
        <w:rPr>
          <w:rFonts w:eastAsia="TimesNewRoman"/>
        </w:rPr>
        <w:t>г</w:t>
      </w:r>
      <w:proofErr w:type="gramEnd"/>
      <w:r w:rsidRPr="00834BFE">
        <w:rPr>
          <w:rFonts w:eastAsia="TimesNewRoman"/>
        </w:rPr>
        <w:t>. Санкт-Петербург. Кроме того, высокая плотность населения и</w:t>
      </w:r>
      <w:r w:rsidR="007C0D66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дорог в</w:t>
      </w:r>
      <w:r w:rsidR="007C0D66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Калининградской, Ленинградской, Новгородской и Псковской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областях. Самые низкие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показатели в Ненецком автономном округе. В СЗФО относительно невысокий уровень износа основных фондов – 39.5% по итогам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2009 года, что ниже, чем по России в целом (44.3%). При этом можно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отметить, что из всех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субъектов РФ, входящих СЗФО, только в одном – в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Республике Коми – степень износа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основных фондов выше, чем по Росси в целом.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В структуре экономики СЗФО преобладает промышленность, что в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купе с наличием мощной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минерально-сырьевой базы во многом определяет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его инвестиционный потенциал. На долю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трех базовых отраслей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промышленности («добыча полезных ископаемых», «обрабатывающие</w:t>
      </w:r>
      <w:r w:rsidR="00DB7BD2">
        <w:rPr>
          <w:rFonts w:eastAsia="TimesNewRoman"/>
          <w:lang w:eastAsia="en-US"/>
        </w:rPr>
        <w:t xml:space="preserve"> </w:t>
      </w:r>
      <w:r w:rsidRPr="00834BFE">
        <w:rPr>
          <w:rFonts w:eastAsia="TimesNewRoman"/>
        </w:rPr>
        <w:lastRenderedPageBreak/>
        <w:t>производства», «производство и распределение электроэнергии, газа и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воды») приходится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33.2% в ВРП СЗФО (31% по РФ в целом). По доле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промышленности СЗФО занимает четвертое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место в РФ после Уральского</w:t>
      </w:r>
      <w:r w:rsidR="00DB7BD2" w:rsidRPr="00834BFE">
        <w:rPr>
          <w:rFonts w:eastAsia="TimesNewRoman"/>
        </w:rPr>
        <w:t xml:space="preserve">, </w:t>
      </w:r>
      <w:r w:rsidRPr="00834BFE">
        <w:rPr>
          <w:rFonts w:eastAsia="TimesNewRoman"/>
        </w:rPr>
        <w:t>Приволжского и Сибирского федеральных округов. В структуре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промышленности СЗФО преобладают обрабатывающие производства. Доля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обрабатывающих произво</w:t>
      </w:r>
      <w:proofErr w:type="gramStart"/>
      <w:r w:rsidRPr="00834BFE">
        <w:rPr>
          <w:rFonts w:eastAsia="TimesNewRoman"/>
        </w:rPr>
        <w:t>дств в стр</w:t>
      </w:r>
      <w:proofErr w:type="gramEnd"/>
      <w:r w:rsidRPr="00834BFE">
        <w:rPr>
          <w:rFonts w:eastAsia="TimesNewRoman"/>
        </w:rPr>
        <w:t>уктуре ВРП составляет 21.5%. Это самый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высокий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показатель среди федеральных округов. Наиболее развитыми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отраслями промышленности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СЗФО являются: машиностроение</w:t>
      </w:r>
      <w:r w:rsidR="00DB7BD2" w:rsidRPr="00834BFE">
        <w:rPr>
          <w:rFonts w:eastAsia="TimesNewRoman"/>
        </w:rPr>
        <w:t xml:space="preserve">, </w:t>
      </w:r>
      <w:r w:rsidRPr="00834BFE">
        <w:rPr>
          <w:rFonts w:eastAsia="TimesNewRoman"/>
        </w:rPr>
        <w:t>металлургия</w:t>
      </w:r>
      <w:r w:rsidR="00DB7BD2" w:rsidRPr="00834BFE">
        <w:rPr>
          <w:rFonts w:eastAsia="TimesNewRoman"/>
        </w:rPr>
        <w:t>,</w:t>
      </w:r>
      <w:r w:rsidR="00603988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химия и деревообработка.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Металлургия округа представлена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одним из крупнейших российских металлургических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комбинатов – ОАО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«Северсталь». В СЗФО также хорошо развито машиностроение. Здесь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расположены крупнейшие российские судостроительные предприятия, в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числе которых: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Севмашпредприятие, Балтийский завод, Адмиралтейские верфи и др. Здесь же работают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предприятия ведущей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энергомашиностроительной корпорации «Силовые машины». В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последние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годы в Санкт-Петербурге и Ленинградской области сформирован мощный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автомобилестроительный кластер. В Калининградской области действует крупнейший в России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центр по производству телевизоров (ООО «Компания «</w:t>
      </w:r>
      <w:proofErr w:type="spellStart"/>
      <w:r w:rsidRPr="00834BFE">
        <w:rPr>
          <w:rFonts w:eastAsia="TimesNewRoman"/>
        </w:rPr>
        <w:t>Телебалт</w:t>
      </w:r>
      <w:proofErr w:type="spellEnd"/>
      <w:r w:rsidRPr="00834BFE">
        <w:rPr>
          <w:rFonts w:eastAsia="TimesNewRoman"/>
        </w:rPr>
        <w:t>» один из крупнейших в РФ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производителей телевизоров). Кроме того, среди машиностроительных предприятий можно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выделить такие известные российские бренды как Кировский тракторный завод,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Петрозаводский машиностроительный завод, Ижорские заводы и др. Среди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предприятий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 xml:space="preserve">химической промышленности можно отметить </w:t>
      </w:r>
      <w:proofErr w:type="spellStart"/>
      <w:r w:rsidRPr="00834BFE">
        <w:rPr>
          <w:rFonts w:eastAsia="TimesNewRoman"/>
        </w:rPr>
        <w:t>Акрон</w:t>
      </w:r>
      <w:proofErr w:type="spellEnd"/>
      <w:r w:rsidRPr="00834BFE">
        <w:rPr>
          <w:rFonts w:eastAsia="TimesNewRoman"/>
        </w:rPr>
        <w:t xml:space="preserve"> и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Череповецкий Азот. Одними из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лидеров лесопереработки являются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Архангельский ЦБК и АО «</w:t>
      </w:r>
      <w:proofErr w:type="spellStart"/>
      <w:r w:rsidRPr="00834BFE">
        <w:rPr>
          <w:rFonts w:eastAsia="TimesNewRoman"/>
        </w:rPr>
        <w:t>Монди</w:t>
      </w:r>
      <w:proofErr w:type="spellEnd"/>
      <w:r w:rsidRPr="00834BFE">
        <w:rPr>
          <w:rFonts w:eastAsia="TimesNewRoman"/>
        </w:rPr>
        <w:t xml:space="preserve"> Сыктывкарский ЛПК».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Второе место среди отраслей промышленности СЗФО занимает добыча полезных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 xml:space="preserve">ископаемых. В округе добываются практически все виды </w:t>
      </w:r>
      <w:proofErr w:type="spellStart"/>
      <w:r w:rsidRPr="00834BFE">
        <w:rPr>
          <w:rFonts w:eastAsia="TimesNewRoman"/>
        </w:rPr>
        <w:t>топливно</w:t>
      </w:r>
      <w:proofErr w:type="spellEnd"/>
      <w:r w:rsidR="00603988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энергетических полезных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ископаемых: уголь, нефть, газ и горючие сланцы. Кроме того, здесь расположены крупнейшие</w:t>
      </w:r>
      <w:r w:rsidR="00DB7BD2" w:rsidRPr="00834BFE">
        <w:rPr>
          <w:rFonts w:eastAsia="TimesNewRoman"/>
        </w:rPr>
        <w:t xml:space="preserve"> </w:t>
      </w:r>
      <w:r w:rsidRPr="00834BFE">
        <w:rPr>
          <w:rFonts w:eastAsia="TimesNewRoman"/>
        </w:rPr>
        <w:t>мощности по добыче апатита, железной руды, меди и никеля. Наибольшая доля обрабатывающих производств (больше 30% ВРП) сосредоточена в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lastRenderedPageBreak/>
        <w:t>Вологодской и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t>Новгородской областях. В Ленинградской области и Санкт-Петербурге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t>обрабатывающие производства обеспечивают больше 20% ВРП. В Вологодской области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t>наиболее развита металлургия и химия (Северсталь, Череповецкий Азот), в Новгородской –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t>химическая промышленность (</w:t>
      </w:r>
      <w:proofErr w:type="spellStart"/>
      <w:r w:rsidRPr="00891FF9">
        <w:rPr>
          <w:rFonts w:eastAsia="TimesNewRoman"/>
          <w:lang w:eastAsia="en-US"/>
        </w:rPr>
        <w:t>Акрон</w:t>
      </w:r>
      <w:proofErr w:type="spellEnd"/>
      <w:r w:rsidRPr="00891FF9">
        <w:rPr>
          <w:rFonts w:eastAsia="TimesNewRoman"/>
          <w:lang w:eastAsia="en-US"/>
        </w:rPr>
        <w:t>), в Санкт-Петербурге и Ленинградской области –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t>машиностроение.</w:t>
      </w:r>
    </w:p>
    <w:p w:rsidR="00891FF9" w:rsidRPr="00CF2E2C" w:rsidRDefault="00891FF9" w:rsidP="00834BFE">
      <w:pPr>
        <w:pStyle w:val="2"/>
        <w:rPr>
          <w:rFonts w:eastAsia="TimesNewRoman"/>
          <w:lang w:eastAsia="en-US"/>
        </w:rPr>
      </w:pPr>
      <w:r w:rsidRPr="00891FF9">
        <w:rPr>
          <w:rFonts w:eastAsia="TimesNewRoman"/>
          <w:lang w:eastAsia="en-US"/>
        </w:rPr>
        <w:t>Самая высокая доля добычи полезных ископаемых в структуре ВРП (больше 20%) в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t>Архангельской области, и, в особенности, в Ненецком автономном округе, где добывается газ и</w:t>
      </w:r>
      <w:r w:rsidR="00DB7BD2">
        <w:rPr>
          <w:rFonts w:eastAsia="TimesNewRoman"/>
          <w:lang w:eastAsia="en-US"/>
        </w:rPr>
        <w:t xml:space="preserve"> </w:t>
      </w:r>
      <w:r w:rsidRPr="00891FF9">
        <w:rPr>
          <w:rFonts w:eastAsia="TimesNewRoman"/>
          <w:lang w:eastAsia="en-US"/>
        </w:rPr>
        <w:t>нефть, а также в Республике Коми (уголь и нефть).</w:t>
      </w:r>
      <w:r w:rsidR="00CF2E2C" w:rsidRPr="00CF2E2C">
        <w:rPr>
          <w:rFonts w:eastAsia="TimesNewRoman"/>
          <w:lang w:eastAsia="en-US"/>
        </w:rPr>
        <w:t xml:space="preserve"> [</w:t>
      </w:r>
      <w:r w:rsidR="00B23D46">
        <w:t>4</w:t>
      </w:r>
      <w:r w:rsidR="00CF2E2C" w:rsidRPr="00CF2E2C">
        <w:rPr>
          <w:rFonts w:eastAsia="TimesNewRoman"/>
          <w:lang w:eastAsia="en-US"/>
        </w:rPr>
        <w:t>]</w:t>
      </w: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492C89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New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-338455</wp:posOffset>
            </wp:positionV>
            <wp:extent cx="7533640" cy="8229600"/>
            <wp:effectExtent l="19050" t="0" r="0" b="0"/>
            <wp:wrapSquare wrapText="bothSides"/>
            <wp:docPr id="2" name="Рисунок 1" descr="C:\Users\Алексей\Desktop\0_411e4_3bd44a6c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esktop\0_411e4_3bd44a6c_ori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364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C2E" w:rsidRDefault="00492C89" w:rsidP="00492C8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t>Рисунок 2 – Инфраструктура Северно-западного федерального округа</w:t>
      </w:r>
    </w:p>
    <w:p w:rsidR="00654DCC" w:rsidRDefault="00654DCC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654DCC" w:rsidRDefault="00654DCC" w:rsidP="00654DC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654DCC" w:rsidRPr="00834BFE" w:rsidRDefault="00654DCC" w:rsidP="00834BFE">
      <w:pPr>
        <w:pStyle w:val="11"/>
      </w:pPr>
      <w:bookmarkStart w:id="4" w:name="_Toc379826498"/>
      <w:r w:rsidRPr="00834BFE">
        <w:lastRenderedPageBreak/>
        <w:t>ЗАКЛЮЧЕНИЕ</w:t>
      </w:r>
      <w:bookmarkEnd w:id="4"/>
    </w:p>
    <w:p w:rsidR="00654DCC" w:rsidRPr="00654DCC" w:rsidRDefault="00654DCC" w:rsidP="00834BFE">
      <w:pPr>
        <w:pStyle w:val="2"/>
      </w:pPr>
      <w:r w:rsidRPr="00654DCC">
        <w:t>Развитие хозяйственного комплекса Северного экономического района опирается на использование его природно-ресурсного потенциала, выгодное экономико-географическое положение по отношению к индустриально-развитым районам страны, районам нового освоения Азиатского Севера и зарубежным торговым партнерам.</w:t>
      </w:r>
    </w:p>
    <w:p w:rsidR="00654DCC" w:rsidRPr="00654DCC" w:rsidRDefault="00654DCC" w:rsidP="00834BFE">
      <w:pPr>
        <w:pStyle w:val="2"/>
      </w:pPr>
      <w:r w:rsidRPr="00654DCC">
        <w:t>Выгодное экономико-географическое положение района обеспечивается сложившейся транспортной сетью и наличием крупного незамерзающего Мурманского порта, а также наличием шельфовой зоны в западной части Кольского полуострова. Это способствует формированию в районе морского хозяйства - судоходства - производств по добыче и переработке морских ресурсов, развитию крупных промышленно-транспортных узлов, расширению внешнеэкономических и научно-технических связей с зарубежными странами.</w:t>
      </w:r>
    </w:p>
    <w:p w:rsidR="00654DCC" w:rsidRPr="001B4DC7" w:rsidRDefault="00654DCC" w:rsidP="00834BFE">
      <w:pPr>
        <w:pStyle w:val="2"/>
      </w:pPr>
      <w:r w:rsidRPr="00654DCC">
        <w:t>Отраслями рыночной специализации Северного экономического района являются: лесная, горно-химическая, топливная промышленность, черная и цветная металлургия, рыбная промышленность и машиностроение.</w:t>
      </w:r>
      <w:r w:rsidR="00CF2E2C" w:rsidRPr="00CF2E2C">
        <w:t xml:space="preserve"> [</w:t>
      </w:r>
      <w:r w:rsidR="00B23D46">
        <w:t>2</w:t>
      </w:r>
      <w:r w:rsidR="00CF2E2C" w:rsidRPr="001B4DC7">
        <w:t>]</w:t>
      </w:r>
    </w:p>
    <w:p w:rsidR="00CF2E2C" w:rsidRPr="00654DCC" w:rsidRDefault="00CF2E2C" w:rsidP="00834BFE">
      <w:pPr>
        <w:pStyle w:val="2"/>
      </w:pPr>
    </w:p>
    <w:p w:rsidR="00654DCC" w:rsidRDefault="00654DCC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774C2" w:rsidRDefault="007774C2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730C2E" w:rsidRDefault="00730C2E" w:rsidP="00DB7BD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</w:p>
    <w:p w:rsidR="004E5C93" w:rsidRDefault="004E5C93" w:rsidP="004E5C93">
      <w:pPr>
        <w:pStyle w:val="2"/>
        <w:ind w:firstLine="0"/>
        <w:rPr>
          <w:rFonts w:eastAsia="TimesNewRoman"/>
          <w:lang w:eastAsia="en-US"/>
        </w:rPr>
      </w:pPr>
    </w:p>
    <w:p w:rsidR="004E5C93" w:rsidRDefault="004E5C93" w:rsidP="004E5C93">
      <w:pPr>
        <w:pStyle w:val="2"/>
        <w:ind w:firstLine="0"/>
        <w:jc w:val="center"/>
        <w:rPr>
          <w:rFonts w:eastAsia="TimesNewRoman"/>
          <w:lang w:eastAsia="en-US"/>
        </w:rPr>
      </w:pPr>
      <w:r>
        <w:rPr>
          <w:rFonts w:eastAsia="TimesNewRoman"/>
          <w:lang w:eastAsia="en-US"/>
        </w:rPr>
        <w:lastRenderedPageBreak/>
        <w:t>ЛИТЕРАТУРА</w:t>
      </w:r>
    </w:p>
    <w:p w:rsidR="00730C2E" w:rsidRDefault="00A74F7C" w:rsidP="00834BFE">
      <w:pPr>
        <w:pStyle w:val="2"/>
      </w:pPr>
      <w:r>
        <w:rPr>
          <w:rFonts w:eastAsia="TimesNewRoman"/>
          <w:lang w:eastAsia="en-US"/>
        </w:rPr>
        <w:t xml:space="preserve">1. </w:t>
      </w:r>
      <w:r w:rsidRPr="00A74F7C">
        <w:t>Региональная экономика</w:t>
      </w:r>
      <w:proofErr w:type="gramStart"/>
      <w:r w:rsidRPr="00A74F7C">
        <w:t xml:space="preserve"> / П</w:t>
      </w:r>
      <w:proofErr w:type="gramEnd"/>
      <w:r w:rsidRPr="00A74F7C">
        <w:t>од ред. Т.Г. Морозовой. М.: ЮНИТИ, 1998.</w:t>
      </w:r>
    </w:p>
    <w:p w:rsidR="00A74F7C" w:rsidRDefault="00A74F7C" w:rsidP="00834BFE">
      <w:pPr>
        <w:pStyle w:val="2"/>
        <w:rPr>
          <w:shd w:val="clear" w:color="auto" w:fill="FFFFDD"/>
        </w:rPr>
      </w:pPr>
      <w:r>
        <w:t xml:space="preserve">2. </w:t>
      </w:r>
      <w:r w:rsidRPr="00A74F7C">
        <w:t xml:space="preserve">Регионы России. Основные характеристики субъектов Российской Федерации. 2008: Стат. сб. / Росстат. </w:t>
      </w:r>
      <w:r w:rsidRPr="00A74F7C">
        <w:sym w:font="Symbol" w:char="F02D"/>
      </w:r>
      <w:r w:rsidRPr="00A74F7C">
        <w:t xml:space="preserve"> М., 2009. </w:t>
      </w:r>
      <w:r w:rsidRPr="00A74F7C">
        <w:sym w:font="Symbol" w:char="F02D"/>
      </w:r>
      <w:r w:rsidRPr="00A74F7C">
        <w:t xml:space="preserve"> 654 с</w:t>
      </w:r>
    </w:p>
    <w:p w:rsidR="00A74F7C" w:rsidRDefault="00A74F7C" w:rsidP="00834BFE">
      <w:pPr>
        <w:pStyle w:val="2"/>
        <w:rPr>
          <w:rFonts w:eastAsia="TimesNewRoman"/>
          <w:lang w:eastAsia="en-US"/>
        </w:rPr>
      </w:pPr>
      <w:r>
        <w:rPr>
          <w:rFonts w:eastAsia="TimesNewRoman"/>
          <w:lang w:eastAsia="en-US"/>
        </w:rPr>
        <w:t xml:space="preserve">3. </w:t>
      </w:r>
      <w:r w:rsidRPr="00A74F7C">
        <w:t>Регионы России. Социально-экономические показатели. 2009: Стат. сб. / Росстат.  М., 2009.  990 с</w:t>
      </w:r>
    </w:p>
    <w:p w:rsidR="00A74F7C" w:rsidRDefault="00A74F7C" w:rsidP="00834BFE">
      <w:pPr>
        <w:pStyle w:val="2"/>
      </w:pPr>
      <w:r>
        <w:t>4.</w:t>
      </w:r>
      <w:r>
        <w:rPr>
          <w:rFonts w:eastAsia="TimesNewRoman"/>
          <w:lang w:eastAsia="en-US"/>
        </w:rPr>
        <w:t xml:space="preserve"> </w:t>
      </w:r>
      <w:r w:rsidRPr="00A74F7C">
        <w:t>http://www.polpred.com – Россия. Северо-Западный федеральный округ</w:t>
      </w:r>
    </w:p>
    <w:p w:rsidR="00654DCC" w:rsidRPr="00A74F7C" w:rsidRDefault="00654DCC" w:rsidP="00834BFE">
      <w:pPr>
        <w:pStyle w:val="2"/>
        <w:rPr>
          <w:rFonts w:eastAsia="TimesNewRoman"/>
          <w:lang w:eastAsia="en-US"/>
        </w:rPr>
      </w:pPr>
      <w:r>
        <w:t xml:space="preserve">5. </w:t>
      </w:r>
      <w:r w:rsidR="00477087" w:rsidRPr="00477087">
        <w:t>http://www.rian.ru/research/«РИА-Аналитика» / Центр экономических исследований</w:t>
      </w:r>
    </w:p>
    <w:sectPr w:rsidR="00654DCC" w:rsidRPr="00A74F7C" w:rsidSect="00492C89">
      <w:footerReference w:type="default" r:id="rId9"/>
      <w:pgSz w:w="11906" w:h="16838"/>
      <w:pgMar w:top="1134" w:right="850" w:bottom="1134" w:left="1701" w:header="708" w:footer="708" w:gutter="0"/>
      <w:pgNumType w:start="2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6443" w:rsidRDefault="00A56443" w:rsidP="00886C45">
      <w:pPr>
        <w:spacing w:after="0" w:line="240" w:lineRule="auto"/>
      </w:pPr>
      <w:r>
        <w:separator/>
      </w:r>
    </w:p>
  </w:endnote>
  <w:endnote w:type="continuationSeparator" w:id="0">
    <w:p w:rsidR="00A56443" w:rsidRDefault="00A56443" w:rsidP="00886C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179646"/>
      <w:docPartObj>
        <w:docPartGallery w:val="Page Numbers (Bottom of Page)"/>
        <w:docPartUnique/>
      </w:docPartObj>
    </w:sdtPr>
    <w:sdtContent>
      <w:p w:rsidR="00492C89" w:rsidRDefault="00CF28BB">
        <w:pPr>
          <w:pStyle w:val="af"/>
          <w:jc w:val="center"/>
        </w:pPr>
        <w:fldSimple w:instr=" PAGE   \* MERGEFORMAT ">
          <w:r w:rsidR="004E5C93">
            <w:rPr>
              <w:noProof/>
            </w:rPr>
            <w:t>14</w:t>
          </w:r>
        </w:fldSimple>
      </w:p>
    </w:sdtContent>
  </w:sdt>
  <w:p w:rsidR="00492C89" w:rsidRDefault="00492C89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6443" w:rsidRDefault="00A56443" w:rsidP="00886C45">
      <w:pPr>
        <w:spacing w:after="0" w:line="240" w:lineRule="auto"/>
      </w:pPr>
      <w:r>
        <w:separator/>
      </w:r>
    </w:p>
  </w:footnote>
  <w:footnote w:type="continuationSeparator" w:id="0">
    <w:p w:rsidR="00A56443" w:rsidRDefault="00A56443" w:rsidP="00886C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19E4"/>
    <w:rsid w:val="001719C4"/>
    <w:rsid w:val="001B4DC7"/>
    <w:rsid w:val="002A23F0"/>
    <w:rsid w:val="002F5C5E"/>
    <w:rsid w:val="00330E14"/>
    <w:rsid w:val="003726D4"/>
    <w:rsid w:val="003917E7"/>
    <w:rsid w:val="00400CFD"/>
    <w:rsid w:val="00415798"/>
    <w:rsid w:val="00477087"/>
    <w:rsid w:val="00492C89"/>
    <w:rsid w:val="004E5C93"/>
    <w:rsid w:val="004F77C6"/>
    <w:rsid w:val="00566C52"/>
    <w:rsid w:val="00603988"/>
    <w:rsid w:val="00654DCC"/>
    <w:rsid w:val="006C214F"/>
    <w:rsid w:val="006D51C2"/>
    <w:rsid w:val="00730C2E"/>
    <w:rsid w:val="00775601"/>
    <w:rsid w:val="007774C2"/>
    <w:rsid w:val="0078740E"/>
    <w:rsid w:val="007C0D66"/>
    <w:rsid w:val="00834BFE"/>
    <w:rsid w:val="00871AB9"/>
    <w:rsid w:val="00886C45"/>
    <w:rsid w:val="00891FF9"/>
    <w:rsid w:val="008A3595"/>
    <w:rsid w:val="008B7BD0"/>
    <w:rsid w:val="009C6FAE"/>
    <w:rsid w:val="009F466B"/>
    <w:rsid w:val="00A56443"/>
    <w:rsid w:val="00A74F7C"/>
    <w:rsid w:val="00A85ACF"/>
    <w:rsid w:val="00B204C5"/>
    <w:rsid w:val="00B23D46"/>
    <w:rsid w:val="00B27745"/>
    <w:rsid w:val="00B53C4D"/>
    <w:rsid w:val="00CC349F"/>
    <w:rsid w:val="00CF28BB"/>
    <w:rsid w:val="00CF2E2C"/>
    <w:rsid w:val="00D24423"/>
    <w:rsid w:val="00D24677"/>
    <w:rsid w:val="00DB2CB6"/>
    <w:rsid w:val="00DB7BD2"/>
    <w:rsid w:val="00DC1A48"/>
    <w:rsid w:val="00E819E4"/>
    <w:rsid w:val="00F173A3"/>
    <w:rsid w:val="00F338C2"/>
    <w:rsid w:val="00F7462D"/>
    <w:rsid w:val="00F93B5D"/>
    <w:rsid w:val="00FA69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9E4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34BF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2">
    <w:name w:val="style2"/>
    <w:basedOn w:val="a"/>
    <w:rsid w:val="00F746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7462D"/>
  </w:style>
  <w:style w:type="character" w:styleId="a3">
    <w:name w:val="Hyperlink"/>
    <w:basedOn w:val="a0"/>
    <w:uiPriority w:val="99"/>
    <w:unhideWhenUsed/>
    <w:rsid w:val="00F7462D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D246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note text"/>
    <w:basedOn w:val="a"/>
    <w:link w:val="a6"/>
    <w:uiPriority w:val="99"/>
    <w:semiHidden/>
    <w:unhideWhenUsed/>
    <w:rsid w:val="00886C45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886C45"/>
    <w:rPr>
      <w:rFonts w:eastAsiaTheme="minorEastAsia"/>
      <w:sz w:val="20"/>
      <w:szCs w:val="20"/>
      <w:lang w:eastAsia="ru-RU"/>
    </w:rPr>
  </w:style>
  <w:style w:type="character" w:styleId="a7">
    <w:name w:val="footnote reference"/>
    <w:basedOn w:val="a0"/>
    <w:uiPriority w:val="99"/>
    <w:semiHidden/>
    <w:unhideWhenUsed/>
    <w:rsid w:val="00886C45"/>
    <w:rPr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400C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00CFD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endnote text"/>
    <w:basedOn w:val="a"/>
    <w:link w:val="ab"/>
    <w:semiHidden/>
    <w:rsid w:val="00400C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b">
    <w:name w:val="Текст концевой сноски Знак"/>
    <w:basedOn w:val="a0"/>
    <w:link w:val="aa"/>
    <w:semiHidden/>
    <w:rsid w:val="00400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34BF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11">
    <w:name w:val="Стиль1"/>
    <w:basedOn w:val="1"/>
    <w:qFormat/>
    <w:rsid w:val="00834BFE"/>
    <w:pPr>
      <w:spacing w:before="0" w:line="360" w:lineRule="auto"/>
      <w:jc w:val="center"/>
    </w:pPr>
    <w:rPr>
      <w:rFonts w:eastAsia="TimesNewRoman"/>
      <w:b w:val="0"/>
      <w:caps/>
      <w:color w:val="auto"/>
      <w:lang w:eastAsia="en-US"/>
    </w:rPr>
  </w:style>
  <w:style w:type="paragraph" w:customStyle="1" w:styleId="2">
    <w:name w:val="Стиль2"/>
    <w:basedOn w:val="a"/>
    <w:qFormat/>
    <w:rsid w:val="00834BFE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paragraph" w:styleId="ac">
    <w:name w:val="TOC Heading"/>
    <w:basedOn w:val="1"/>
    <w:next w:val="a"/>
    <w:uiPriority w:val="39"/>
    <w:semiHidden/>
    <w:unhideWhenUsed/>
    <w:qFormat/>
    <w:rsid w:val="00F93B5D"/>
    <w:pPr>
      <w:outlineLvl w:val="9"/>
    </w:pPr>
    <w:rPr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F93B5D"/>
    <w:pPr>
      <w:spacing w:after="100"/>
    </w:pPr>
  </w:style>
  <w:style w:type="paragraph" w:styleId="ad">
    <w:name w:val="header"/>
    <w:basedOn w:val="a"/>
    <w:link w:val="ae"/>
    <w:uiPriority w:val="99"/>
    <w:semiHidden/>
    <w:unhideWhenUsed/>
    <w:rsid w:val="00492C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492C89"/>
    <w:rPr>
      <w:rFonts w:eastAsiaTheme="minorEastAsia"/>
      <w:lang w:eastAsia="ru-RU"/>
    </w:rPr>
  </w:style>
  <w:style w:type="paragraph" w:styleId="af">
    <w:name w:val="footer"/>
    <w:basedOn w:val="a"/>
    <w:link w:val="af0"/>
    <w:uiPriority w:val="99"/>
    <w:unhideWhenUsed/>
    <w:rsid w:val="00492C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492C89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3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EF9420-3D3C-4A03-A005-6E622B25FC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2510</TotalTime>
  <Pages>1</Pages>
  <Words>2603</Words>
  <Characters>14842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21</cp:revision>
  <cp:lastPrinted>2014-02-10T16:16:00Z</cp:lastPrinted>
  <dcterms:created xsi:type="dcterms:W3CDTF">2014-01-04T17:25:00Z</dcterms:created>
  <dcterms:modified xsi:type="dcterms:W3CDTF">2014-02-10T16:17:00Z</dcterms:modified>
</cp:coreProperties>
</file>