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177" w:rsidRPr="00161177" w:rsidRDefault="00161177" w:rsidP="00161177">
      <w:pPr>
        <w:pStyle w:val="a3"/>
        <w:ind w:firstLine="709"/>
        <w:contextualSpacing/>
        <w:jc w:val="right"/>
        <w:rPr>
          <w:rFonts w:ascii="Times New Roman" w:hAnsi="Times New Roman" w:cs="Times New Roman"/>
          <w:sz w:val="20"/>
          <w:szCs w:val="28"/>
        </w:rPr>
      </w:pPr>
    </w:p>
    <w:p w:rsidR="00B34194" w:rsidRPr="009C5DD5" w:rsidRDefault="00B34194" w:rsidP="00161177">
      <w:pPr>
        <w:pStyle w:val="a3"/>
        <w:spacing w:line="360" w:lineRule="auto"/>
        <w:ind w:firstLine="709"/>
        <w:jc w:val="center"/>
        <w:rPr>
          <w:rFonts w:ascii="Times New Roman" w:hAnsi="Times New Roman" w:cs="Times New Roman"/>
          <w:b/>
          <w:sz w:val="28"/>
          <w:szCs w:val="28"/>
        </w:rPr>
      </w:pPr>
      <w:r w:rsidRPr="009C5DD5">
        <w:rPr>
          <w:rFonts w:ascii="Times New Roman" w:hAnsi="Times New Roman" w:cs="Times New Roman"/>
          <w:b/>
          <w:sz w:val="28"/>
          <w:szCs w:val="28"/>
        </w:rPr>
        <w:t>Методы, используемые в процессе разработки социально-экономических прогнозов, программ, планов</w:t>
      </w:r>
    </w:p>
    <w:p w:rsidR="00B34194" w:rsidRPr="00161177" w:rsidRDefault="00B34194" w:rsidP="00B34194">
      <w:pPr>
        <w:pStyle w:val="a3"/>
        <w:spacing w:line="360" w:lineRule="auto"/>
        <w:ind w:firstLine="709"/>
        <w:jc w:val="both"/>
        <w:rPr>
          <w:rFonts w:ascii="Times New Roman" w:hAnsi="Times New Roman" w:cs="Times New Roman"/>
          <w:sz w:val="12"/>
          <w:szCs w:val="28"/>
        </w:rPr>
      </w:pPr>
    </w:p>
    <w:p w:rsidR="009C5DD5" w:rsidRDefault="00B34194" w:rsidP="009C5DD5">
      <w:pPr>
        <w:pStyle w:val="a3"/>
        <w:spacing w:line="360" w:lineRule="auto"/>
        <w:ind w:firstLine="709"/>
        <w:jc w:val="both"/>
        <w:rPr>
          <w:rFonts w:ascii="Times New Roman" w:hAnsi="Times New Roman" w:cs="Times New Roman"/>
          <w:sz w:val="28"/>
          <w:szCs w:val="28"/>
        </w:rPr>
      </w:pPr>
      <w:r w:rsidRPr="00B34194">
        <w:rPr>
          <w:rFonts w:ascii="Times New Roman" w:hAnsi="Times New Roman" w:cs="Times New Roman"/>
          <w:sz w:val="28"/>
          <w:szCs w:val="28"/>
        </w:rPr>
        <w:t>По оценкам некоторых</w:t>
      </w:r>
      <w:r w:rsidR="009C5DD5">
        <w:rPr>
          <w:rFonts w:ascii="Times New Roman" w:hAnsi="Times New Roman" w:cs="Times New Roman"/>
          <w:sz w:val="28"/>
          <w:szCs w:val="28"/>
        </w:rPr>
        <w:t xml:space="preserve"> </w:t>
      </w:r>
      <w:r w:rsidRPr="00B34194">
        <w:rPr>
          <w:rFonts w:ascii="Times New Roman" w:hAnsi="Times New Roman" w:cs="Times New Roman"/>
          <w:sz w:val="28"/>
          <w:szCs w:val="28"/>
        </w:rPr>
        <w:t xml:space="preserve">ученых насчитывается более 150 методов прогнозирования. </w:t>
      </w:r>
    </w:p>
    <w:p w:rsidR="00B34194" w:rsidRPr="00B34194" w:rsidRDefault="00B34194" w:rsidP="009C5DD5">
      <w:pPr>
        <w:pStyle w:val="a3"/>
        <w:spacing w:line="360" w:lineRule="auto"/>
        <w:ind w:firstLine="709"/>
        <w:jc w:val="both"/>
        <w:rPr>
          <w:rFonts w:ascii="Times New Roman" w:eastAsia="TimesNewRomanPSMT" w:hAnsi="Times New Roman" w:cs="Times New Roman"/>
          <w:sz w:val="28"/>
          <w:szCs w:val="28"/>
        </w:rPr>
      </w:pPr>
      <w:r w:rsidRPr="00B34194">
        <w:rPr>
          <w:rFonts w:ascii="Times New Roman" w:eastAsia="TimesNewRomanPSMT" w:hAnsi="Times New Roman" w:cs="Times New Roman"/>
          <w:sz w:val="28"/>
          <w:szCs w:val="28"/>
        </w:rPr>
        <w:t xml:space="preserve">Под </w:t>
      </w:r>
      <w:r w:rsidRPr="00B34194">
        <w:rPr>
          <w:rFonts w:ascii="Times New Roman" w:eastAsia="TimesNewRomanPSMT" w:hAnsi="Times New Roman" w:cs="Times New Roman"/>
          <w:i/>
          <w:iCs/>
          <w:sz w:val="28"/>
          <w:szCs w:val="28"/>
        </w:rPr>
        <w:t xml:space="preserve">методом прогнозирования </w:t>
      </w:r>
      <w:r w:rsidRPr="00B34194">
        <w:rPr>
          <w:rFonts w:ascii="Times New Roman" w:eastAsia="TimesNewRomanPSMT" w:hAnsi="Times New Roman" w:cs="Times New Roman"/>
          <w:sz w:val="28"/>
          <w:szCs w:val="28"/>
        </w:rPr>
        <w:t>понимается совокупность приемов и способов мышления,</w:t>
      </w:r>
      <w:r w:rsidR="009C5DD5">
        <w:rPr>
          <w:rFonts w:ascii="Times New Roman" w:eastAsia="TimesNewRomanPSMT" w:hAnsi="Times New Roman" w:cs="Times New Roman"/>
          <w:sz w:val="28"/>
          <w:szCs w:val="28"/>
        </w:rPr>
        <w:t xml:space="preserve"> </w:t>
      </w:r>
      <w:r w:rsidRPr="00B34194">
        <w:rPr>
          <w:rFonts w:ascii="Times New Roman" w:eastAsia="TimesNewRomanPSMT" w:hAnsi="Times New Roman" w:cs="Times New Roman"/>
          <w:sz w:val="28"/>
          <w:szCs w:val="28"/>
        </w:rPr>
        <w:t>позволяющих на основе анализа</w:t>
      </w:r>
      <w:r w:rsidR="009C5DD5">
        <w:rPr>
          <w:rFonts w:ascii="Times New Roman" w:eastAsia="TimesNewRomanPSMT" w:hAnsi="Times New Roman" w:cs="Times New Roman"/>
          <w:sz w:val="28"/>
          <w:szCs w:val="28"/>
        </w:rPr>
        <w:t xml:space="preserve"> </w:t>
      </w:r>
      <w:r w:rsidRPr="00B34194">
        <w:rPr>
          <w:rFonts w:ascii="Times New Roman" w:eastAsia="TimesNewRomanPSMT" w:hAnsi="Times New Roman" w:cs="Times New Roman"/>
          <w:sz w:val="28"/>
          <w:szCs w:val="28"/>
        </w:rPr>
        <w:t>ретроспективных данных, экзогенных (внешних) и эндогенных</w:t>
      </w:r>
      <w:r w:rsidR="009C5DD5">
        <w:rPr>
          <w:rFonts w:ascii="Times New Roman" w:eastAsia="TimesNewRomanPSMT" w:hAnsi="Times New Roman" w:cs="Times New Roman"/>
          <w:sz w:val="28"/>
          <w:szCs w:val="28"/>
        </w:rPr>
        <w:t xml:space="preserve"> </w:t>
      </w:r>
      <w:r w:rsidRPr="00B34194">
        <w:rPr>
          <w:rFonts w:ascii="Times New Roman" w:eastAsia="TimesNewRomanPSMT" w:hAnsi="Times New Roman" w:cs="Times New Roman"/>
          <w:sz w:val="28"/>
          <w:szCs w:val="28"/>
        </w:rPr>
        <w:t>(внутренних) связей объекта прогнозирования, а также</w:t>
      </w:r>
      <w:r w:rsidR="009C5DD5">
        <w:rPr>
          <w:rFonts w:ascii="Times New Roman" w:eastAsia="TimesNewRomanPSMT" w:hAnsi="Times New Roman" w:cs="Times New Roman"/>
          <w:sz w:val="28"/>
          <w:szCs w:val="28"/>
        </w:rPr>
        <w:t xml:space="preserve"> </w:t>
      </w:r>
      <w:r w:rsidRPr="00B34194">
        <w:rPr>
          <w:rFonts w:ascii="Times New Roman" w:eastAsia="TimesNewRomanPSMT" w:hAnsi="Times New Roman" w:cs="Times New Roman"/>
          <w:sz w:val="28"/>
          <w:szCs w:val="28"/>
        </w:rPr>
        <w:t>их измерения в рамках рассматриваемого явления или процесса вывести суждения определенной достоверности относительно</w:t>
      </w:r>
      <w:r w:rsidR="009C5DD5">
        <w:rPr>
          <w:rFonts w:ascii="Times New Roman" w:eastAsia="TimesNewRomanPSMT" w:hAnsi="Times New Roman" w:cs="Times New Roman"/>
          <w:sz w:val="28"/>
          <w:szCs w:val="28"/>
        </w:rPr>
        <w:t xml:space="preserve"> </w:t>
      </w:r>
      <w:r w:rsidRPr="00B34194">
        <w:rPr>
          <w:rFonts w:ascii="Times New Roman" w:eastAsia="TimesNewRomanPSMT" w:hAnsi="Times New Roman" w:cs="Times New Roman"/>
          <w:sz w:val="28"/>
          <w:szCs w:val="28"/>
        </w:rPr>
        <w:t>будущего развития объекта</w:t>
      </w:r>
      <w:r w:rsidR="00A23CD1">
        <w:rPr>
          <w:rFonts w:ascii="Times New Roman" w:eastAsia="TimesNewRomanPSMT" w:hAnsi="Times New Roman" w:cs="Times New Roman"/>
          <w:sz w:val="28"/>
          <w:szCs w:val="28"/>
        </w:rPr>
        <w:t xml:space="preserve"> (</w:t>
      </w:r>
      <w:r w:rsidR="00D83043">
        <w:rPr>
          <w:rFonts w:ascii="Times New Roman" w:eastAsia="TimesNewRomanPSMT" w:hAnsi="Times New Roman" w:cs="Times New Roman"/>
          <w:sz w:val="28"/>
          <w:szCs w:val="28"/>
        </w:rPr>
        <w:t>1, стр. 35</w:t>
      </w:r>
      <w:r w:rsidR="00A23CD1">
        <w:rPr>
          <w:rFonts w:ascii="Times New Roman" w:eastAsia="TimesNewRomanPSMT" w:hAnsi="Times New Roman" w:cs="Times New Roman"/>
          <w:sz w:val="28"/>
          <w:szCs w:val="28"/>
        </w:rPr>
        <w:t>)</w:t>
      </w:r>
      <w:r w:rsidRPr="00B34194">
        <w:rPr>
          <w:rFonts w:ascii="Times New Roman" w:eastAsia="TimesNewRomanPSMT" w:hAnsi="Times New Roman" w:cs="Times New Roman"/>
          <w:sz w:val="28"/>
          <w:szCs w:val="28"/>
        </w:rPr>
        <w:t>.</w:t>
      </w:r>
    </w:p>
    <w:p w:rsidR="00B34194" w:rsidRPr="00B34194" w:rsidRDefault="00B34194" w:rsidP="00B34194">
      <w:pPr>
        <w:pStyle w:val="a3"/>
        <w:spacing w:line="360" w:lineRule="auto"/>
        <w:ind w:firstLine="709"/>
        <w:jc w:val="both"/>
        <w:rPr>
          <w:rFonts w:ascii="Times New Roman" w:eastAsia="TimesNewRomanPSMT" w:hAnsi="Times New Roman" w:cs="Times New Roman"/>
          <w:sz w:val="28"/>
          <w:szCs w:val="28"/>
        </w:rPr>
      </w:pPr>
      <w:r w:rsidRPr="00B34194">
        <w:rPr>
          <w:rFonts w:ascii="Times New Roman" w:eastAsia="TimesNewRomanPSMT" w:hAnsi="Times New Roman" w:cs="Times New Roman"/>
          <w:sz w:val="28"/>
          <w:szCs w:val="28"/>
        </w:rPr>
        <w:t>Классификация методов:</w:t>
      </w:r>
    </w:p>
    <w:p w:rsidR="009C5DD5" w:rsidRPr="009C5DD5" w:rsidRDefault="00B34194" w:rsidP="009C5DD5">
      <w:pPr>
        <w:pStyle w:val="a3"/>
        <w:spacing w:line="360" w:lineRule="auto"/>
        <w:ind w:firstLine="709"/>
        <w:jc w:val="both"/>
        <w:rPr>
          <w:rFonts w:ascii="Times New Roman" w:eastAsia="TimesNewRomanPSMT" w:hAnsi="Times New Roman" w:cs="Times New Roman"/>
          <w:i/>
          <w:iCs/>
          <w:sz w:val="28"/>
          <w:szCs w:val="28"/>
        </w:rPr>
      </w:pPr>
      <w:r w:rsidRPr="00B34194">
        <w:rPr>
          <w:rFonts w:ascii="Times New Roman" w:eastAsia="TimesNewRomanPSMT" w:hAnsi="Times New Roman" w:cs="Times New Roman"/>
          <w:sz w:val="28"/>
          <w:szCs w:val="28"/>
        </w:rPr>
        <w:t>По степени формализации методы</w:t>
      </w:r>
      <w:r w:rsidR="009C5DD5">
        <w:rPr>
          <w:rFonts w:ascii="Times New Roman" w:eastAsia="TimesNewRomanPSMT" w:hAnsi="Times New Roman" w:cs="Times New Roman"/>
          <w:sz w:val="28"/>
          <w:szCs w:val="28"/>
        </w:rPr>
        <w:t xml:space="preserve"> </w:t>
      </w:r>
      <w:r w:rsidRPr="00B34194">
        <w:rPr>
          <w:rFonts w:ascii="Times New Roman" w:eastAsia="TimesNewRomanPSMT" w:hAnsi="Times New Roman" w:cs="Times New Roman"/>
          <w:sz w:val="28"/>
          <w:szCs w:val="28"/>
        </w:rPr>
        <w:t xml:space="preserve">прогнозирования делятся на </w:t>
      </w:r>
      <w:r w:rsidRPr="00B34194">
        <w:rPr>
          <w:rFonts w:ascii="Times New Roman" w:eastAsia="TimesNewRomanPSMT" w:hAnsi="Times New Roman" w:cs="Times New Roman"/>
          <w:i/>
          <w:iCs/>
          <w:sz w:val="28"/>
          <w:szCs w:val="28"/>
        </w:rPr>
        <w:t>интуитивные и</w:t>
      </w:r>
      <w:r w:rsidR="009C5DD5">
        <w:rPr>
          <w:rFonts w:ascii="Times New Roman" w:eastAsia="TimesNewRomanPSMT" w:hAnsi="Times New Roman" w:cs="Times New Roman"/>
          <w:i/>
          <w:iCs/>
          <w:sz w:val="28"/>
          <w:szCs w:val="28"/>
        </w:rPr>
        <w:t xml:space="preserve"> </w:t>
      </w:r>
      <w:r w:rsidRPr="00B34194">
        <w:rPr>
          <w:rFonts w:ascii="Times New Roman" w:eastAsia="TimesNewRomanPSMT" w:hAnsi="Times New Roman" w:cs="Times New Roman"/>
          <w:i/>
          <w:iCs/>
          <w:sz w:val="28"/>
          <w:szCs w:val="28"/>
        </w:rPr>
        <w:t xml:space="preserve">формализованные. </w:t>
      </w:r>
      <w:r w:rsidRPr="00B34194">
        <w:rPr>
          <w:rFonts w:ascii="Times New Roman" w:eastAsia="TimesNewRomanPSMT" w:hAnsi="Times New Roman" w:cs="Times New Roman"/>
          <w:sz w:val="28"/>
          <w:szCs w:val="28"/>
        </w:rPr>
        <w:t>Если</w:t>
      </w:r>
      <w:r w:rsidR="009C5DD5">
        <w:rPr>
          <w:rFonts w:ascii="Times New Roman" w:eastAsia="TimesNewRomanPSMT" w:hAnsi="Times New Roman" w:cs="Times New Roman"/>
          <w:sz w:val="28"/>
          <w:szCs w:val="28"/>
        </w:rPr>
        <w:t xml:space="preserve"> </w:t>
      </w:r>
      <w:r w:rsidRPr="00B34194">
        <w:rPr>
          <w:rFonts w:ascii="Times New Roman" w:eastAsia="TimesNewRomanPSMT" w:hAnsi="Times New Roman" w:cs="Times New Roman"/>
          <w:sz w:val="28"/>
          <w:szCs w:val="28"/>
        </w:rPr>
        <w:t>совокупность причинных связей проецируется в будущее, то</w:t>
      </w:r>
      <w:r w:rsidR="009C5DD5">
        <w:rPr>
          <w:rFonts w:ascii="Times New Roman" w:eastAsia="TimesNewRomanPSMT" w:hAnsi="Times New Roman" w:cs="Times New Roman"/>
          <w:i/>
          <w:iCs/>
          <w:sz w:val="28"/>
          <w:szCs w:val="28"/>
        </w:rPr>
        <w:t xml:space="preserve"> </w:t>
      </w:r>
      <w:r w:rsidRPr="00B34194">
        <w:rPr>
          <w:rFonts w:ascii="Times New Roman" w:eastAsia="TimesNewRomanPSMT" w:hAnsi="Times New Roman" w:cs="Times New Roman"/>
          <w:sz w:val="28"/>
          <w:szCs w:val="28"/>
        </w:rPr>
        <w:t>использование методов, основанных на формализованном</w:t>
      </w:r>
      <w:r w:rsidR="009C5DD5">
        <w:rPr>
          <w:rFonts w:ascii="Times New Roman" w:eastAsia="TimesNewRomanPSMT" w:hAnsi="Times New Roman" w:cs="Times New Roman"/>
          <w:sz w:val="28"/>
          <w:szCs w:val="28"/>
        </w:rPr>
        <w:t xml:space="preserve"> </w:t>
      </w:r>
      <w:r w:rsidRPr="00B34194">
        <w:rPr>
          <w:rFonts w:ascii="Times New Roman" w:eastAsia="TimesNewRomanPSMT" w:hAnsi="Times New Roman" w:cs="Times New Roman"/>
          <w:sz w:val="28"/>
          <w:szCs w:val="28"/>
        </w:rPr>
        <w:t>мышлении, имеет преимущества пере</w:t>
      </w:r>
      <w:r w:rsidR="009C5DD5">
        <w:rPr>
          <w:rFonts w:ascii="Times New Roman" w:eastAsia="TimesNewRomanPSMT" w:hAnsi="Times New Roman" w:cs="Times New Roman"/>
          <w:sz w:val="28"/>
          <w:szCs w:val="28"/>
        </w:rPr>
        <w:t xml:space="preserve">д </w:t>
      </w:r>
      <w:r w:rsidRPr="00B34194">
        <w:rPr>
          <w:rFonts w:ascii="Times New Roman" w:eastAsia="TimesNewRomanPSMT" w:hAnsi="Times New Roman" w:cs="Times New Roman"/>
          <w:sz w:val="28"/>
          <w:szCs w:val="28"/>
        </w:rPr>
        <w:t>интуитивными методами</w:t>
      </w:r>
      <w:r w:rsidR="009C5DD5">
        <w:rPr>
          <w:rFonts w:ascii="Times New Roman" w:eastAsia="TimesNewRomanPSMT" w:hAnsi="Times New Roman" w:cs="Times New Roman"/>
          <w:sz w:val="28"/>
          <w:szCs w:val="28"/>
        </w:rPr>
        <w:t xml:space="preserve"> (Рисунок 1)</w:t>
      </w:r>
    </w:p>
    <w:p w:rsidR="009C5DD5" w:rsidRPr="00DF62A9" w:rsidRDefault="009C5DD5" w:rsidP="009C5DD5">
      <w:pPr>
        <w:widowControl/>
        <w:spacing w:line="360" w:lineRule="auto"/>
        <w:ind w:firstLine="709"/>
        <w:jc w:val="both"/>
        <w:rPr>
          <w:sz w:val="28"/>
          <w:szCs w:val="28"/>
        </w:rPr>
      </w:pPr>
      <w:r>
        <w:rPr>
          <w:noProof/>
          <w:sz w:val="28"/>
          <w:szCs w:val="28"/>
        </w:rPr>
        <w:drawing>
          <wp:inline distT="0" distB="0" distL="0" distR="0">
            <wp:extent cx="5279366" cy="256463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t="8157"/>
                    <a:stretch>
                      <a:fillRect/>
                    </a:stretch>
                  </pic:blipFill>
                  <pic:spPr bwMode="auto">
                    <a:xfrm>
                      <a:off x="0" y="0"/>
                      <a:ext cx="5279366" cy="2564635"/>
                    </a:xfrm>
                    <a:prstGeom prst="rect">
                      <a:avLst/>
                    </a:prstGeom>
                    <a:noFill/>
                    <a:ln w="9525">
                      <a:noFill/>
                      <a:miter lim="800000"/>
                      <a:headEnd/>
                      <a:tailEnd/>
                    </a:ln>
                  </pic:spPr>
                </pic:pic>
              </a:graphicData>
            </a:graphic>
          </wp:inline>
        </w:drawing>
      </w:r>
    </w:p>
    <w:p w:rsidR="009C5DD5" w:rsidRPr="00DF62A9" w:rsidRDefault="009C5DD5" w:rsidP="009C5DD5">
      <w:pPr>
        <w:pStyle w:val="a4"/>
        <w:spacing w:before="0" w:beforeAutospacing="0" w:after="0" w:afterAutospacing="0" w:line="360" w:lineRule="auto"/>
        <w:ind w:firstLine="709"/>
        <w:jc w:val="both"/>
        <w:rPr>
          <w:sz w:val="28"/>
        </w:rPr>
      </w:pPr>
      <w:r w:rsidRPr="00DF62A9">
        <w:rPr>
          <w:sz w:val="28"/>
        </w:rPr>
        <w:t>Рис</w:t>
      </w:r>
      <w:r w:rsidR="000872E6">
        <w:rPr>
          <w:sz w:val="28"/>
        </w:rPr>
        <w:t>унок</w:t>
      </w:r>
      <w:r w:rsidRPr="00DF62A9">
        <w:rPr>
          <w:sz w:val="28"/>
        </w:rPr>
        <w:t xml:space="preserve"> 1. Формализационная классификация методов прогнозирования.</w:t>
      </w:r>
    </w:p>
    <w:p w:rsidR="009C5DD5" w:rsidRPr="00DF62A9" w:rsidRDefault="009C5DD5" w:rsidP="009C5DD5">
      <w:pPr>
        <w:pStyle w:val="a4"/>
        <w:spacing w:before="0" w:beforeAutospacing="0" w:after="0" w:afterAutospacing="0" w:line="360" w:lineRule="auto"/>
        <w:ind w:firstLine="709"/>
        <w:jc w:val="both"/>
        <w:rPr>
          <w:sz w:val="28"/>
          <w:szCs w:val="28"/>
        </w:rPr>
      </w:pPr>
      <w:r w:rsidRPr="00DF62A9">
        <w:rPr>
          <w:sz w:val="28"/>
          <w:szCs w:val="28"/>
        </w:rPr>
        <w:t xml:space="preserve">Интуитивные </w:t>
      </w:r>
      <w:r>
        <w:rPr>
          <w:sz w:val="28"/>
          <w:szCs w:val="28"/>
        </w:rPr>
        <w:t xml:space="preserve">включают </w:t>
      </w:r>
      <w:r w:rsidRPr="00DF62A9">
        <w:rPr>
          <w:sz w:val="28"/>
          <w:szCs w:val="28"/>
        </w:rPr>
        <w:t xml:space="preserve"> </w:t>
      </w:r>
      <w:r w:rsidRPr="00DF62A9">
        <w:rPr>
          <w:iCs/>
          <w:sz w:val="28"/>
          <w:szCs w:val="28"/>
        </w:rPr>
        <w:t>индивидуальные</w:t>
      </w:r>
      <w:r w:rsidRPr="00DF62A9">
        <w:rPr>
          <w:sz w:val="28"/>
          <w:szCs w:val="28"/>
        </w:rPr>
        <w:t xml:space="preserve"> и </w:t>
      </w:r>
      <w:r w:rsidRPr="00DF62A9">
        <w:rPr>
          <w:iCs/>
          <w:sz w:val="28"/>
          <w:szCs w:val="28"/>
        </w:rPr>
        <w:t>коллективные</w:t>
      </w:r>
      <w:r w:rsidRPr="00DF62A9">
        <w:rPr>
          <w:sz w:val="28"/>
          <w:szCs w:val="28"/>
        </w:rPr>
        <w:t xml:space="preserve"> экспертные оценки.</w:t>
      </w:r>
    </w:p>
    <w:p w:rsidR="009C5DD5" w:rsidRPr="00DF62A9" w:rsidRDefault="009C5DD5" w:rsidP="009C5DD5">
      <w:pPr>
        <w:pStyle w:val="a4"/>
        <w:spacing w:before="0" w:beforeAutospacing="0" w:after="0" w:afterAutospacing="0" w:line="360" w:lineRule="auto"/>
        <w:ind w:firstLine="709"/>
        <w:jc w:val="both"/>
        <w:rPr>
          <w:sz w:val="28"/>
          <w:szCs w:val="28"/>
        </w:rPr>
      </w:pPr>
      <w:r w:rsidRPr="00DF62A9">
        <w:rPr>
          <w:sz w:val="28"/>
          <w:szCs w:val="28"/>
        </w:rPr>
        <w:t xml:space="preserve">В состав индивидуальных экспертных оценок входят: метод «интервью», при котором осуществляется непосредственный контакт эксперта со специалистом по схеме «вопрос - ответ»; аналитический метод, при котором </w:t>
      </w:r>
      <w:r w:rsidRPr="00DF62A9">
        <w:rPr>
          <w:sz w:val="28"/>
          <w:szCs w:val="28"/>
        </w:rPr>
        <w:lastRenderedPageBreak/>
        <w:t>осуществляется логический анализ какой-либо прогнозируемой ситуации, составляются аналитические докладные записки; метод написания сценария, который основан на определении логики процесса или явления во времени при различных условиях.</w:t>
      </w:r>
    </w:p>
    <w:p w:rsidR="009C5DD5" w:rsidRPr="00DF62A9" w:rsidRDefault="009C5DD5" w:rsidP="009C5DD5">
      <w:pPr>
        <w:pStyle w:val="a4"/>
        <w:spacing w:before="0" w:beforeAutospacing="0" w:after="0" w:afterAutospacing="0" w:line="360" w:lineRule="auto"/>
        <w:ind w:firstLine="709"/>
        <w:jc w:val="both"/>
        <w:rPr>
          <w:sz w:val="28"/>
          <w:szCs w:val="28"/>
        </w:rPr>
      </w:pPr>
      <w:r w:rsidRPr="00DF62A9">
        <w:rPr>
          <w:sz w:val="28"/>
          <w:szCs w:val="28"/>
        </w:rPr>
        <w:t>Методы коллективных экспертных оценок включают в себя метод «комиссий», «коллективной генерации идей» («мозговая атака»), метод «Дельфи», матричный метод. Эта группа методов основана на том, что при коллективном мышлении, во-первых, выше точность результата во-вторых, при обработке индивидуальных независимых оценок, выносимых экспертами, по меньшей мере могут возникнуть продуктивные идеи</w:t>
      </w:r>
      <w:r w:rsidR="008B5672">
        <w:rPr>
          <w:sz w:val="28"/>
          <w:szCs w:val="28"/>
        </w:rPr>
        <w:t xml:space="preserve"> (1, стр. 172)</w:t>
      </w:r>
      <w:r w:rsidRPr="00DF62A9">
        <w:rPr>
          <w:sz w:val="28"/>
          <w:szCs w:val="28"/>
        </w:rPr>
        <w:t>.</w:t>
      </w:r>
    </w:p>
    <w:p w:rsidR="009C5DD5" w:rsidRPr="00DF62A9" w:rsidRDefault="009C5DD5" w:rsidP="009C5DD5">
      <w:pPr>
        <w:pStyle w:val="a4"/>
        <w:spacing w:before="0" w:beforeAutospacing="0" w:after="0" w:afterAutospacing="0" w:line="360" w:lineRule="auto"/>
        <w:ind w:firstLine="709"/>
        <w:jc w:val="both"/>
        <w:rPr>
          <w:sz w:val="28"/>
          <w:szCs w:val="28"/>
        </w:rPr>
      </w:pPr>
      <w:r w:rsidRPr="00DF62A9">
        <w:rPr>
          <w:sz w:val="28"/>
          <w:szCs w:val="28"/>
        </w:rPr>
        <w:t>В группу формализованных методов входят две подгруппы: экстраполяции и моделирования. К первой подгруппе относятся методы: наименьших квадратов, экспоненциального сглаживания, скользящих средних. Ко второй - структурное, сетевое и матричное моделирование.</w:t>
      </w:r>
    </w:p>
    <w:p w:rsidR="009C5DD5" w:rsidRDefault="009C5DD5" w:rsidP="009C5DD5">
      <w:pPr>
        <w:pStyle w:val="a4"/>
        <w:spacing w:before="0" w:beforeAutospacing="0" w:after="0" w:afterAutospacing="0" w:line="360" w:lineRule="auto"/>
        <w:ind w:firstLine="709"/>
        <w:jc w:val="both"/>
        <w:rPr>
          <w:sz w:val="28"/>
          <w:szCs w:val="28"/>
        </w:rPr>
      </w:pPr>
      <w:r>
        <w:rPr>
          <w:sz w:val="28"/>
          <w:szCs w:val="28"/>
        </w:rPr>
        <w:t>Еще одна классификация представлена на рисунке 2.</w:t>
      </w:r>
    </w:p>
    <w:p w:rsidR="009C5DD5" w:rsidRPr="00DF62A9" w:rsidRDefault="009C5DD5" w:rsidP="009C5DD5">
      <w:pPr>
        <w:widowControl/>
        <w:spacing w:line="360" w:lineRule="auto"/>
        <w:ind w:firstLine="709"/>
        <w:jc w:val="both"/>
        <w:rPr>
          <w:sz w:val="28"/>
          <w:szCs w:val="28"/>
        </w:rPr>
      </w:pPr>
      <w:r>
        <w:rPr>
          <w:noProof/>
          <w:sz w:val="28"/>
          <w:szCs w:val="28"/>
        </w:rPr>
        <w:drawing>
          <wp:inline distT="0" distB="0" distL="0" distR="0">
            <wp:extent cx="5329328" cy="3165895"/>
            <wp:effectExtent l="19050" t="0" r="4672"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331313" cy="3167074"/>
                    </a:xfrm>
                    <a:prstGeom prst="rect">
                      <a:avLst/>
                    </a:prstGeom>
                    <a:noFill/>
                    <a:ln w="9525">
                      <a:noFill/>
                      <a:miter lim="800000"/>
                      <a:headEnd/>
                      <a:tailEnd/>
                    </a:ln>
                  </pic:spPr>
                </pic:pic>
              </a:graphicData>
            </a:graphic>
          </wp:inline>
        </w:drawing>
      </w:r>
    </w:p>
    <w:p w:rsidR="009C5DD5" w:rsidRDefault="009C5DD5" w:rsidP="009C5DD5">
      <w:pPr>
        <w:pStyle w:val="a4"/>
        <w:spacing w:before="0" w:beforeAutospacing="0" w:after="0" w:afterAutospacing="0" w:line="360" w:lineRule="auto"/>
        <w:ind w:firstLine="709"/>
        <w:jc w:val="both"/>
        <w:rPr>
          <w:sz w:val="28"/>
        </w:rPr>
      </w:pPr>
      <w:r w:rsidRPr="00DF62A9">
        <w:rPr>
          <w:sz w:val="28"/>
        </w:rPr>
        <w:t>Рис</w:t>
      </w:r>
      <w:r w:rsidR="000872E6">
        <w:rPr>
          <w:sz w:val="28"/>
        </w:rPr>
        <w:t>унок</w:t>
      </w:r>
      <w:r w:rsidRPr="00DF62A9">
        <w:rPr>
          <w:sz w:val="28"/>
        </w:rPr>
        <w:t xml:space="preserve"> 2. Конструктивная классификация методов прогнозирования.</w:t>
      </w:r>
    </w:p>
    <w:p w:rsidR="001E3D57" w:rsidRDefault="001E3D57" w:rsidP="001E3D57">
      <w:pPr>
        <w:pStyle w:val="a4"/>
        <w:spacing w:before="0" w:beforeAutospacing="0" w:after="0" w:afterAutospacing="0" w:line="360" w:lineRule="auto"/>
        <w:ind w:firstLine="709"/>
        <w:jc w:val="both"/>
        <w:rPr>
          <w:sz w:val="28"/>
          <w:szCs w:val="28"/>
        </w:rPr>
      </w:pPr>
      <w:r w:rsidRPr="00DF62A9">
        <w:rPr>
          <w:sz w:val="28"/>
          <w:szCs w:val="28"/>
        </w:rPr>
        <w:t xml:space="preserve">Фактографические базируются на фактической информации об объекте прогнозирования и его прошлом развитии. В экспертных методах используется информация, которую доставляют специалисты-эксперты в процессе систематизированных процедур выявления и обобщения их мнений. В свою очередь, классы экспертных и фактографических методов подразделяются на </w:t>
      </w:r>
      <w:r w:rsidRPr="00DF62A9">
        <w:rPr>
          <w:sz w:val="28"/>
          <w:szCs w:val="28"/>
        </w:rPr>
        <w:lastRenderedPageBreak/>
        <w:t>подклассы по методам обработки информации. Комбинированные сочетают названные виды информации.</w:t>
      </w:r>
    </w:p>
    <w:p w:rsidR="001E3D57" w:rsidRDefault="001E3D57" w:rsidP="001E3D57">
      <w:pPr>
        <w:pStyle w:val="a4"/>
        <w:spacing w:before="0" w:beforeAutospacing="0" w:after="0" w:afterAutospacing="0" w:line="360" w:lineRule="auto"/>
        <w:ind w:firstLine="709"/>
        <w:jc w:val="both"/>
        <w:rPr>
          <w:sz w:val="28"/>
          <w:szCs w:val="28"/>
        </w:rPr>
      </w:pPr>
      <w:r w:rsidRPr="00DF62A9">
        <w:rPr>
          <w:sz w:val="28"/>
          <w:szCs w:val="28"/>
        </w:rPr>
        <w:t>Прямые экспертные оценки строятся по принципу получения и обработки независимого обобщенного мнения коллектива экспертов (или одного из них) при отсутствии воздействия на мнение каждого эксперта мнения другого эксперта и всего коллектива.</w:t>
      </w:r>
    </w:p>
    <w:p w:rsidR="001E3D57" w:rsidRPr="00DF62A9" w:rsidRDefault="001E3D57" w:rsidP="001E3D57">
      <w:pPr>
        <w:pStyle w:val="a4"/>
        <w:spacing w:before="0" w:beforeAutospacing="0" w:after="0" w:afterAutospacing="0" w:line="360" w:lineRule="auto"/>
        <w:ind w:firstLine="709"/>
        <w:jc w:val="both"/>
        <w:rPr>
          <w:sz w:val="28"/>
          <w:szCs w:val="28"/>
        </w:rPr>
      </w:pPr>
      <w:r w:rsidRPr="00DF62A9">
        <w:rPr>
          <w:sz w:val="28"/>
          <w:szCs w:val="28"/>
        </w:rPr>
        <w:t>Экспертные оценки с обратной связью в том или ином виде реализуют принцип обратной связи на основе воздействия на оценку экспертной группы (одного эксперта) мнениями, полученными ранее от этой группы (или от одного из экспертов).</w:t>
      </w:r>
    </w:p>
    <w:p w:rsidR="009C5DD5" w:rsidRPr="00DF62A9" w:rsidRDefault="009C5DD5" w:rsidP="009C5DD5">
      <w:pPr>
        <w:pStyle w:val="a4"/>
        <w:spacing w:before="0" w:beforeAutospacing="0" w:after="0" w:afterAutospacing="0" w:line="360" w:lineRule="auto"/>
        <w:ind w:firstLine="709"/>
        <w:jc w:val="both"/>
        <w:rPr>
          <w:sz w:val="28"/>
          <w:szCs w:val="28"/>
        </w:rPr>
      </w:pPr>
      <w:r w:rsidRPr="00DF62A9">
        <w:rPr>
          <w:sz w:val="28"/>
          <w:szCs w:val="28"/>
        </w:rPr>
        <w:t>Методы аналогий направлены на выявление сходства в закономерностях развития различных процессов. К ним относятся методы математических и исторических аналогий. Методы математических аналогий в качестве аналога для объекта используют объекты другой физической природы, других областей науки и техники, имеющие математическое описание процесса развития, совпадающие с объектом прогнозирования</w:t>
      </w:r>
      <w:r w:rsidR="008B5672">
        <w:rPr>
          <w:sz w:val="28"/>
          <w:szCs w:val="28"/>
        </w:rPr>
        <w:t xml:space="preserve"> (</w:t>
      </w:r>
      <w:r w:rsidR="008540B1">
        <w:rPr>
          <w:sz w:val="28"/>
          <w:szCs w:val="28"/>
        </w:rPr>
        <w:t>3</w:t>
      </w:r>
      <w:r w:rsidR="008B5672">
        <w:rPr>
          <w:sz w:val="28"/>
          <w:szCs w:val="28"/>
        </w:rPr>
        <w:t>, стр.143)</w:t>
      </w:r>
      <w:r w:rsidRPr="00DF62A9">
        <w:rPr>
          <w:sz w:val="28"/>
          <w:szCs w:val="28"/>
        </w:rPr>
        <w:t>.</w:t>
      </w:r>
    </w:p>
    <w:p w:rsidR="009C5DD5" w:rsidRPr="00DF62A9" w:rsidRDefault="009C5DD5" w:rsidP="009C5DD5">
      <w:pPr>
        <w:pStyle w:val="a4"/>
        <w:spacing w:before="0" w:beforeAutospacing="0" w:after="0" w:afterAutospacing="0" w:line="360" w:lineRule="auto"/>
        <w:ind w:firstLine="709"/>
        <w:jc w:val="both"/>
        <w:rPr>
          <w:sz w:val="28"/>
          <w:szCs w:val="28"/>
        </w:rPr>
      </w:pPr>
      <w:r w:rsidRPr="00DF62A9">
        <w:rPr>
          <w:sz w:val="28"/>
          <w:szCs w:val="28"/>
        </w:rPr>
        <w:t>Опережающие методы прогнозирования основаны на определенных принципах специальной обработки научно-технической информации, учитывающих ее свойство опережать прогресс науки и техники. К ним относятся методы исследования динамики научно-технической информации, использующие построение динамических рядов на базе различных видов такой информации, анализа и прогнозирования на этой основе развития соответствующего объекта (например, метод огибающих). К опережающим методам можно отнести также методы исследования и оценки уровня техники, основанные на использовании специальных методов анализа количественной и качественно</w:t>
      </w:r>
      <w:r w:rsidR="001E3D57">
        <w:rPr>
          <w:sz w:val="28"/>
          <w:szCs w:val="28"/>
        </w:rPr>
        <w:t>й научно-технической информации</w:t>
      </w:r>
      <w:r w:rsidRPr="00DF62A9">
        <w:rPr>
          <w:sz w:val="28"/>
          <w:szCs w:val="28"/>
        </w:rPr>
        <w:t>.</w:t>
      </w:r>
    </w:p>
    <w:p w:rsidR="00F12F80" w:rsidRDefault="009C5DD5" w:rsidP="00161177">
      <w:pPr>
        <w:pStyle w:val="a4"/>
        <w:spacing w:before="0" w:beforeAutospacing="0" w:after="0" w:afterAutospacing="0" w:line="360" w:lineRule="auto"/>
        <w:ind w:firstLine="709"/>
        <w:jc w:val="both"/>
        <w:rPr>
          <w:sz w:val="28"/>
          <w:szCs w:val="28"/>
        </w:rPr>
      </w:pPr>
      <w:r w:rsidRPr="00DF62A9">
        <w:rPr>
          <w:sz w:val="28"/>
          <w:szCs w:val="28"/>
        </w:rPr>
        <w:t>Статистические методы представляют собой совокупность методов обработки количественной информации об объекте прогнозирования, объединенной по принципу выявления содержащихся в ней математических закономерностей изменения характеристик данного объекта с целью получения прогнозных моделей.</w:t>
      </w:r>
    </w:p>
    <w:p w:rsidR="004E1546" w:rsidRPr="004E1546" w:rsidRDefault="004E1546" w:rsidP="004E1546">
      <w:pPr>
        <w:pStyle w:val="a4"/>
        <w:spacing w:before="0" w:beforeAutospacing="0" w:after="0" w:afterAutospacing="0" w:line="360" w:lineRule="auto"/>
        <w:ind w:firstLine="709"/>
        <w:contextualSpacing/>
        <w:jc w:val="both"/>
        <w:rPr>
          <w:sz w:val="28"/>
        </w:rPr>
      </w:pPr>
      <w:r w:rsidRPr="004E1546">
        <w:rPr>
          <w:sz w:val="28"/>
        </w:rPr>
        <w:lastRenderedPageBreak/>
        <w:t>Сегодня в управлении российской экономикой очень серьезную роль играет инерционный прогноз экономики, на основании которого по законодательству должна строиться концепция долгосрочного развития экономики, детализирующая сам прогноз. Инерционный прогноз, конечно, многовариантный, рассматривает различные сценарии и зависит в основном от набора важных показателей: цена на нефть, инфляция, демография и т. п. От ресурсов и других факторов выводятся темпы экономического роста, а создаваемый в будущем продукт «разбивается» на разные цели: социальные и прочие</w:t>
      </w:r>
      <w:r w:rsidR="008B5672">
        <w:rPr>
          <w:sz w:val="28"/>
        </w:rPr>
        <w:t xml:space="preserve"> (</w:t>
      </w:r>
      <w:r w:rsidR="008540B1">
        <w:rPr>
          <w:sz w:val="28"/>
        </w:rPr>
        <w:t>4</w:t>
      </w:r>
      <w:r w:rsidR="008B5672">
        <w:rPr>
          <w:sz w:val="28"/>
        </w:rPr>
        <w:t>)</w:t>
      </w:r>
      <w:r w:rsidRPr="004E1546">
        <w:rPr>
          <w:sz w:val="28"/>
        </w:rPr>
        <w:t>.</w:t>
      </w:r>
    </w:p>
    <w:p w:rsidR="004E1546" w:rsidRPr="004E1546" w:rsidRDefault="004E1546" w:rsidP="004E1546">
      <w:pPr>
        <w:pStyle w:val="a4"/>
        <w:spacing w:before="0" w:beforeAutospacing="0" w:after="0" w:afterAutospacing="0" w:line="360" w:lineRule="auto"/>
        <w:ind w:firstLine="709"/>
        <w:contextualSpacing/>
        <w:jc w:val="both"/>
        <w:rPr>
          <w:sz w:val="28"/>
        </w:rPr>
      </w:pPr>
      <w:r w:rsidRPr="004E1546">
        <w:rPr>
          <w:sz w:val="28"/>
        </w:rPr>
        <w:t>Реальная реализация крупных инвестиционных проектов и программ, возможна лишь в рамках конкретных региональных образований России и, по нашему глубокому убеждению, в рамках их программ социально-экономического развития, так как: любой инвестиционный проект или программа осуществляется в рамках экономической, правовой и организационной системы региона (основываясь на федеральной вертикали) и не могут быть рассмотрены вне социальной и экономической среды, его инвестиционной инфраструктуры; инвестиционные и организационные проблемы проекта или программы не могут быть разрешены вне поддержки региональных властей (в том числе и финансовой), вне использования законодательных и налоговых инструментов органов региональной власти; корректно (в соответствии с требованиями Федерального уровня) сформированные и принятые региональными законодательными и исполнительными органами субъекта Российской Федерации экономические, инвестиционные и социальные приоритеты могут позволить создать инвестиционным проектам не только необходимую поддержку (налоговые льготы, защита интересов инвестора), но и обеспечение гарантиями соответствующего уровня (регионального, федерального); и, наконец, программы развития регионов могут представить реальный механизм реформирования экономики региона и выхода его из общеэкономического кризиса.</w:t>
      </w:r>
    </w:p>
    <w:p w:rsidR="004E1546" w:rsidRDefault="004E1546" w:rsidP="004E1546">
      <w:pPr>
        <w:widowControl/>
        <w:spacing w:line="360" w:lineRule="auto"/>
        <w:ind w:firstLine="708"/>
        <w:contextualSpacing/>
        <w:jc w:val="both"/>
        <w:rPr>
          <w:sz w:val="28"/>
          <w:szCs w:val="24"/>
        </w:rPr>
      </w:pPr>
      <w:r w:rsidRPr="004E1546">
        <w:rPr>
          <w:sz w:val="28"/>
          <w:szCs w:val="24"/>
        </w:rPr>
        <w:t xml:space="preserve">Для того, чтобы реформы в России оказались результативными и ее экономика вышла из кризиса, необходимо прежде всего изучать методы </w:t>
      </w:r>
      <w:r w:rsidRPr="004E1546">
        <w:rPr>
          <w:sz w:val="28"/>
          <w:szCs w:val="24"/>
        </w:rPr>
        <w:lastRenderedPageBreak/>
        <w:t>государственного регулирования социально-экономических процессов, посредством которых возможно проведение активной государственной экономической политики. Ее осуществление подразумевает «упорядочение, осторожное и гибкое, но вместе с тем настойчивое и целенаправленное регулирование государством экономических и социальных процессов в ин</w:t>
      </w:r>
      <w:r>
        <w:rPr>
          <w:sz w:val="28"/>
          <w:szCs w:val="24"/>
        </w:rPr>
        <w:t>тересах большинства населения».</w:t>
      </w:r>
    </w:p>
    <w:p w:rsidR="004E1546" w:rsidRDefault="004E1546" w:rsidP="004E1546">
      <w:pPr>
        <w:widowControl/>
        <w:spacing w:line="360" w:lineRule="auto"/>
        <w:ind w:firstLine="708"/>
        <w:contextualSpacing/>
        <w:jc w:val="both"/>
        <w:rPr>
          <w:sz w:val="28"/>
          <w:szCs w:val="24"/>
        </w:rPr>
      </w:pPr>
      <w:r w:rsidRPr="004E1546">
        <w:rPr>
          <w:sz w:val="28"/>
          <w:szCs w:val="24"/>
        </w:rPr>
        <w:t>Формирование высокоэффективного механизма хозяйственного управления в России связано с освоением и использованием всего того положительного, что выработала отечественная и мировая практика в области прогнозирования и планирования соц</w:t>
      </w:r>
      <w:r>
        <w:rPr>
          <w:sz w:val="28"/>
          <w:szCs w:val="24"/>
        </w:rPr>
        <w:t>иально-экономического развития</w:t>
      </w:r>
      <w:r w:rsidR="008B5672">
        <w:rPr>
          <w:sz w:val="28"/>
          <w:szCs w:val="24"/>
        </w:rPr>
        <w:t xml:space="preserve"> (</w:t>
      </w:r>
      <w:r w:rsidR="008540B1">
        <w:rPr>
          <w:sz w:val="28"/>
          <w:szCs w:val="24"/>
        </w:rPr>
        <w:t>5</w:t>
      </w:r>
      <w:r w:rsidR="008B5672">
        <w:rPr>
          <w:sz w:val="28"/>
          <w:szCs w:val="24"/>
        </w:rPr>
        <w:t>)</w:t>
      </w:r>
      <w:r>
        <w:rPr>
          <w:sz w:val="28"/>
          <w:szCs w:val="24"/>
        </w:rPr>
        <w:t>.</w:t>
      </w:r>
    </w:p>
    <w:p w:rsidR="004E1546" w:rsidRPr="004E1546" w:rsidRDefault="004E1546" w:rsidP="004E1546">
      <w:pPr>
        <w:widowControl/>
        <w:spacing w:line="360" w:lineRule="auto"/>
        <w:ind w:firstLine="708"/>
        <w:contextualSpacing/>
        <w:jc w:val="both"/>
        <w:rPr>
          <w:sz w:val="28"/>
          <w:szCs w:val="24"/>
        </w:rPr>
      </w:pPr>
      <w:r w:rsidRPr="004E1546">
        <w:rPr>
          <w:sz w:val="28"/>
          <w:szCs w:val="24"/>
        </w:rPr>
        <w:t>Главной отличительной чертой современной рыночной экономической системы стало активное воздействие государства на развитие национальной экономики. В настоящее время нерегулируемого государством рынка по существу в мире нет.</w:t>
      </w:r>
    </w:p>
    <w:p w:rsidR="004E1546" w:rsidRDefault="004E1546" w:rsidP="004E1546">
      <w:pPr>
        <w:pStyle w:val="a4"/>
        <w:spacing w:before="0" w:beforeAutospacing="0" w:after="0" w:afterAutospacing="0" w:line="360" w:lineRule="auto"/>
        <w:ind w:firstLine="709"/>
        <w:contextualSpacing/>
        <w:jc w:val="both"/>
        <w:rPr>
          <w:sz w:val="28"/>
        </w:rPr>
      </w:pPr>
    </w:p>
    <w:p w:rsidR="004E1546" w:rsidRDefault="004E1546" w:rsidP="004E1546">
      <w:pPr>
        <w:pStyle w:val="a4"/>
        <w:spacing w:before="0" w:beforeAutospacing="0" w:after="0" w:afterAutospacing="0" w:line="360" w:lineRule="auto"/>
        <w:ind w:firstLine="709"/>
        <w:contextualSpacing/>
        <w:jc w:val="both"/>
        <w:rPr>
          <w:sz w:val="28"/>
        </w:rPr>
      </w:pPr>
    </w:p>
    <w:p w:rsidR="004E1546" w:rsidRDefault="004E1546" w:rsidP="004E1546">
      <w:pPr>
        <w:pStyle w:val="a4"/>
        <w:spacing w:before="0" w:beforeAutospacing="0" w:after="0" w:afterAutospacing="0" w:line="360" w:lineRule="auto"/>
        <w:ind w:firstLine="709"/>
        <w:contextualSpacing/>
        <w:jc w:val="both"/>
        <w:rPr>
          <w:sz w:val="28"/>
        </w:rPr>
      </w:pPr>
    </w:p>
    <w:p w:rsidR="004E1546" w:rsidRDefault="004E1546" w:rsidP="004E1546">
      <w:pPr>
        <w:pStyle w:val="a4"/>
        <w:spacing w:before="0" w:beforeAutospacing="0" w:after="0" w:afterAutospacing="0" w:line="360" w:lineRule="auto"/>
        <w:ind w:firstLine="709"/>
        <w:contextualSpacing/>
        <w:jc w:val="both"/>
        <w:rPr>
          <w:sz w:val="28"/>
        </w:rPr>
      </w:pPr>
    </w:p>
    <w:p w:rsidR="004E1546" w:rsidRDefault="004E1546" w:rsidP="004E1546">
      <w:pPr>
        <w:pStyle w:val="a4"/>
        <w:spacing w:before="0" w:beforeAutospacing="0" w:after="0" w:afterAutospacing="0" w:line="360" w:lineRule="auto"/>
        <w:ind w:firstLine="709"/>
        <w:contextualSpacing/>
        <w:jc w:val="both"/>
        <w:rPr>
          <w:sz w:val="28"/>
        </w:rPr>
      </w:pPr>
    </w:p>
    <w:p w:rsidR="004E1546" w:rsidRDefault="004E1546" w:rsidP="004E1546">
      <w:pPr>
        <w:pStyle w:val="a4"/>
        <w:spacing w:before="0" w:beforeAutospacing="0" w:after="0" w:afterAutospacing="0" w:line="360" w:lineRule="auto"/>
        <w:ind w:firstLine="709"/>
        <w:contextualSpacing/>
        <w:jc w:val="both"/>
        <w:rPr>
          <w:sz w:val="28"/>
        </w:rPr>
      </w:pPr>
    </w:p>
    <w:p w:rsidR="004E1546" w:rsidRDefault="004E1546" w:rsidP="004E1546">
      <w:pPr>
        <w:pStyle w:val="a4"/>
        <w:spacing w:before="0" w:beforeAutospacing="0" w:after="0" w:afterAutospacing="0" w:line="360" w:lineRule="auto"/>
        <w:ind w:firstLine="709"/>
        <w:contextualSpacing/>
        <w:jc w:val="both"/>
        <w:rPr>
          <w:sz w:val="28"/>
        </w:rPr>
      </w:pPr>
    </w:p>
    <w:p w:rsidR="004E1546" w:rsidRDefault="004E1546" w:rsidP="004E1546">
      <w:pPr>
        <w:pStyle w:val="a4"/>
        <w:spacing w:before="0" w:beforeAutospacing="0" w:after="0" w:afterAutospacing="0" w:line="360" w:lineRule="auto"/>
        <w:ind w:firstLine="709"/>
        <w:contextualSpacing/>
        <w:jc w:val="both"/>
        <w:rPr>
          <w:sz w:val="28"/>
        </w:rPr>
      </w:pPr>
    </w:p>
    <w:p w:rsidR="004E1546" w:rsidRDefault="004E1546" w:rsidP="004E1546">
      <w:pPr>
        <w:pStyle w:val="a4"/>
        <w:spacing w:before="0" w:beforeAutospacing="0" w:after="0" w:afterAutospacing="0" w:line="360" w:lineRule="auto"/>
        <w:ind w:firstLine="709"/>
        <w:contextualSpacing/>
        <w:jc w:val="both"/>
        <w:rPr>
          <w:sz w:val="28"/>
        </w:rPr>
      </w:pPr>
    </w:p>
    <w:p w:rsidR="004E1546" w:rsidRDefault="004E1546" w:rsidP="004E1546">
      <w:pPr>
        <w:pStyle w:val="a4"/>
        <w:spacing w:before="0" w:beforeAutospacing="0" w:after="0" w:afterAutospacing="0" w:line="360" w:lineRule="auto"/>
        <w:ind w:firstLine="709"/>
        <w:contextualSpacing/>
        <w:jc w:val="both"/>
        <w:rPr>
          <w:sz w:val="28"/>
        </w:rPr>
      </w:pPr>
    </w:p>
    <w:p w:rsidR="004E1546" w:rsidRDefault="004E1546" w:rsidP="004E1546">
      <w:pPr>
        <w:pStyle w:val="a4"/>
        <w:spacing w:before="0" w:beforeAutospacing="0" w:after="0" w:afterAutospacing="0" w:line="360" w:lineRule="auto"/>
        <w:ind w:firstLine="709"/>
        <w:contextualSpacing/>
        <w:jc w:val="both"/>
        <w:rPr>
          <w:sz w:val="28"/>
        </w:rPr>
      </w:pPr>
    </w:p>
    <w:p w:rsidR="004E1546" w:rsidRDefault="004E1546" w:rsidP="004E1546">
      <w:pPr>
        <w:pStyle w:val="a4"/>
        <w:spacing w:before="0" w:beforeAutospacing="0" w:after="0" w:afterAutospacing="0" w:line="360" w:lineRule="auto"/>
        <w:ind w:firstLine="709"/>
        <w:contextualSpacing/>
        <w:jc w:val="both"/>
        <w:rPr>
          <w:sz w:val="28"/>
        </w:rPr>
      </w:pPr>
    </w:p>
    <w:p w:rsidR="004E1546" w:rsidRDefault="004E1546" w:rsidP="004E1546">
      <w:pPr>
        <w:pStyle w:val="a4"/>
        <w:spacing w:before="0" w:beforeAutospacing="0" w:after="0" w:afterAutospacing="0" w:line="360" w:lineRule="auto"/>
        <w:ind w:firstLine="709"/>
        <w:contextualSpacing/>
        <w:jc w:val="both"/>
        <w:rPr>
          <w:sz w:val="28"/>
        </w:rPr>
      </w:pPr>
    </w:p>
    <w:p w:rsidR="004E1546" w:rsidRDefault="004E1546" w:rsidP="004E1546">
      <w:pPr>
        <w:pStyle w:val="a4"/>
        <w:spacing w:before="0" w:beforeAutospacing="0" w:after="0" w:afterAutospacing="0" w:line="360" w:lineRule="auto"/>
        <w:ind w:firstLine="709"/>
        <w:contextualSpacing/>
        <w:jc w:val="both"/>
        <w:rPr>
          <w:sz w:val="28"/>
        </w:rPr>
      </w:pPr>
    </w:p>
    <w:p w:rsidR="004E1546" w:rsidRDefault="004E1546" w:rsidP="004E1546">
      <w:pPr>
        <w:pStyle w:val="a4"/>
        <w:spacing w:before="0" w:beforeAutospacing="0" w:after="0" w:afterAutospacing="0" w:line="360" w:lineRule="auto"/>
        <w:ind w:firstLine="709"/>
        <w:contextualSpacing/>
        <w:jc w:val="both"/>
        <w:rPr>
          <w:sz w:val="28"/>
        </w:rPr>
      </w:pPr>
    </w:p>
    <w:p w:rsidR="004E1546" w:rsidRDefault="004E1546" w:rsidP="004E1546">
      <w:pPr>
        <w:pStyle w:val="a4"/>
        <w:spacing w:before="0" w:beforeAutospacing="0" w:after="0" w:afterAutospacing="0" w:line="360" w:lineRule="auto"/>
        <w:ind w:firstLine="709"/>
        <w:contextualSpacing/>
        <w:jc w:val="both"/>
        <w:rPr>
          <w:sz w:val="28"/>
        </w:rPr>
      </w:pPr>
    </w:p>
    <w:p w:rsidR="004E1546" w:rsidRDefault="004E1546" w:rsidP="004E1546">
      <w:pPr>
        <w:pStyle w:val="a4"/>
        <w:spacing w:before="0" w:beforeAutospacing="0" w:after="0" w:afterAutospacing="0" w:line="360" w:lineRule="auto"/>
        <w:ind w:firstLine="709"/>
        <w:contextualSpacing/>
        <w:jc w:val="both"/>
        <w:rPr>
          <w:sz w:val="28"/>
        </w:rPr>
      </w:pPr>
    </w:p>
    <w:p w:rsidR="004E1546" w:rsidRDefault="004E1546" w:rsidP="004E1546">
      <w:pPr>
        <w:pStyle w:val="a4"/>
        <w:spacing w:before="0" w:beforeAutospacing="0" w:after="0" w:afterAutospacing="0" w:line="360" w:lineRule="auto"/>
        <w:ind w:firstLine="709"/>
        <w:contextualSpacing/>
        <w:jc w:val="both"/>
        <w:rPr>
          <w:sz w:val="28"/>
        </w:rPr>
      </w:pPr>
    </w:p>
    <w:p w:rsidR="004E1546" w:rsidRDefault="004E1546" w:rsidP="004E1546">
      <w:pPr>
        <w:pStyle w:val="a4"/>
        <w:spacing w:before="0" w:beforeAutospacing="0" w:after="0" w:afterAutospacing="0" w:line="360" w:lineRule="auto"/>
        <w:ind w:firstLine="709"/>
        <w:contextualSpacing/>
        <w:jc w:val="center"/>
        <w:rPr>
          <w:b/>
          <w:sz w:val="28"/>
        </w:rPr>
      </w:pPr>
      <w:r w:rsidRPr="004E1546">
        <w:rPr>
          <w:b/>
          <w:sz w:val="28"/>
        </w:rPr>
        <w:lastRenderedPageBreak/>
        <w:t>Список используемой литературы</w:t>
      </w:r>
    </w:p>
    <w:p w:rsidR="00D83043" w:rsidRDefault="00D83043" w:rsidP="00D83043">
      <w:pPr>
        <w:pStyle w:val="a4"/>
        <w:spacing w:before="0" w:beforeAutospacing="0" w:after="0" w:afterAutospacing="0" w:line="360" w:lineRule="auto"/>
        <w:contextualSpacing/>
        <w:rPr>
          <w:b/>
          <w:sz w:val="28"/>
        </w:rPr>
      </w:pPr>
    </w:p>
    <w:p w:rsidR="00D83043" w:rsidRDefault="00D83043" w:rsidP="008540B1">
      <w:pPr>
        <w:pStyle w:val="a4"/>
        <w:numPr>
          <w:ilvl w:val="0"/>
          <w:numId w:val="1"/>
        </w:numPr>
        <w:spacing w:before="0" w:beforeAutospacing="0" w:after="0" w:afterAutospacing="0" w:line="360" w:lineRule="auto"/>
        <w:ind w:left="0" w:firstLine="0"/>
        <w:contextualSpacing/>
        <w:jc w:val="both"/>
        <w:rPr>
          <w:sz w:val="28"/>
          <w:szCs w:val="28"/>
        </w:rPr>
      </w:pPr>
      <w:r w:rsidRPr="00D83043">
        <w:rPr>
          <w:sz w:val="28"/>
          <w:szCs w:val="28"/>
        </w:rPr>
        <w:t>Исследование социально-экономических и политических процессов: Учебное пособие / Е.П. Тавокин. - 2-e изд., перераб. и доп. - М.: ИНФРА-М, 2010. - 216 с.</w:t>
      </w:r>
    </w:p>
    <w:p w:rsidR="008540B1" w:rsidRPr="008540B1" w:rsidRDefault="008540B1" w:rsidP="008540B1">
      <w:pPr>
        <w:pStyle w:val="a4"/>
        <w:numPr>
          <w:ilvl w:val="0"/>
          <w:numId w:val="1"/>
        </w:numPr>
        <w:spacing w:before="0" w:beforeAutospacing="0" w:after="0" w:afterAutospacing="0" w:line="360" w:lineRule="auto"/>
        <w:ind w:left="0" w:firstLine="0"/>
        <w:contextualSpacing/>
        <w:jc w:val="both"/>
        <w:rPr>
          <w:sz w:val="32"/>
          <w:szCs w:val="28"/>
        </w:rPr>
      </w:pPr>
      <w:r w:rsidRPr="008540B1">
        <w:rPr>
          <w:sz w:val="28"/>
        </w:rPr>
        <w:t>Культура управления социально-политическими и экономическими процессами: Монография / В.В. Трошихин. - М.: ИЦ РИОР: ИНФРА-М, 2012. - 248 с.</w:t>
      </w:r>
    </w:p>
    <w:p w:rsidR="00D83043" w:rsidRPr="008B5672" w:rsidRDefault="00D83043" w:rsidP="008540B1">
      <w:pPr>
        <w:pStyle w:val="a4"/>
        <w:numPr>
          <w:ilvl w:val="0"/>
          <w:numId w:val="1"/>
        </w:numPr>
        <w:spacing w:before="0" w:beforeAutospacing="0" w:after="0" w:afterAutospacing="0" w:line="360" w:lineRule="auto"/>
        <w:ind w:left="0" w:firstLine="0"/>
        <w:contextualSpacing/>
        <w:jc w:val="both"/>
        <w:rPr>
          <w:sz w:val="28"/>
          <w:szCs w:val="28"/>
        </w:rPr>
      </w:pPr>
      <w:r w:rsidRPr="008B5672">
        <w:rPr>
          <w:sz w:val="28"/>
          <w:szCs w:val="28"/>
        </w:rPr>
        <w:t>Мировая экономика: социально-экономические модели развития: Учебное пособие / В.М. Кудров; Государственный университет - Высшая школа экономики. - М.: Магистр: ИНФРА-М, 2011. - 399 с.</w:t>
      </w:r>
    </w:p>
    <w:p w:rsidR="00D83043" w:rsidRPr="008B5672" w:rsidRDefault="00D83043" w:rsidP="008540B1">
      <w:pPr>
        <w:pStyle w:val="a4"/>
        <w:numPr>
          <w:ilvl w:val="0"/>
          <w:numId w:val="1"/>
        </w:numPr>
        <w:spacing w:before="0" w:beforeAutospacing="0" w:after="0" w:afterAutospacing="0" w:line="360" w:lineRule="auto"/>
        <w:ind w:left="0" w:firstLine="0"/>
        <w:contextualSpacing/>
        <w:jc w:val="both"/>
        <w:rPr>
          <w:sz w:val="28"/>
          <w:szCs w:val="28"/>
        </w:rPr>
      </w:pPr>
      <w:r w:rsidRPr="008B5672">
        <w:rPr>
          <w:sz w:val="28"/>
          <w:szCs w:val="28"/>
        </w:rPr>
        <w:t>Официальныи саит Министерства Финансов в РФ URL: http//</w:t>
      </w:r>
      <w:hyperlink r:id="rId9" w:tgtFrame="_blank" w:history="1">
        <w:r w:rsidRPr="008B5672">
          <w:rPr>
            <w:rStyle w:val="ae"/>
            <w:sz w:val="28"/>
            <w:szCs w:val="28"/>
          </w:rPr>
          <w:t>www.minfin.ru</w:t>
        </w:r>
      </w:hyperlink>
      <w:r w:rsidRPr="008B5672">
        <w:rPr>
          <w:sz w:val="28"/>
          <w:szCs w:val="28"/>
        </w:rPr>
        <w:t xml:space="preserve"> ( дата обращения к ресурсу ну т.е 21.05.2014)</w:t>
      </w:r>
    </w:p>
    <w:p w:rsidR="00D83043" w:rsidRPr="008B5672" w:rsidRDefault="00D17729" w:rsidP="008540B1">
      <w:pPr>
        <w:pStyle w:val="a4"/>
        <w:numPr>
          <w:ilvl w:val="0"/>
          <w:numId w:val="1"/>
        </w:numPr>
        <w:spacing w:before="0" w:beforeAutospacing="0" w:after="0" w:afterAutospacing="0" w:line="360" w:lineRule="auto"/>
        <w:ind w:left="0" w:firstLine="0"/>
        <w:contextualSpacing/>
        <w:jc w:val="both"/>
        <w:rPr>
          <w:sz w:val="28"/>
          <w:szCs w:val="28"/>
        </w:rPr>
      </w:pPr>
      <w:hyperlink r:id="rId10" w:tgtFrame="_blank" w:history="1">
        <w:r w:rsidR="00D83043" w:rsidRPr="008B5672">
          <w:rPr>
            <w:rStyle w:val="ae"/>
            <w:sz w:val="28"/>
            <w:szCs w:val="28"/>
          </w:rPr>
          <w:t>http://www.ereport.ru/</w:t>
        </w:r>
      </w:hyperlink>
      <w:r w:rsidR="00D83043" w:rsidRPr="008B5672">
        <w:rPr>
          <w:sz w:val="28"/>
          <w:szCs w:val="28"/>
        </w:rPr>
        <w:t xml:space="preserve"> - "Мировая экон</w:t>
      </w:r>
      <w:r w:rsidR="008B5672">
        <w:rPr>
          <w:sz w:val="28"/>
          <w:szCs w:val="28"/>
        </w:rPr>
        <w:t>о</w:t>
      </w:r>
      <w:r w:rsidR="00D83043" w:rsidRPr="008B5672">
        <w:rPr>
          <w:sz w:val="28"/>
          <w:szCs w:val="28"/>
        </w:rPr>
        <w:t>мика.</w:t>
      </w:r>
      <w:r w:rsidR="008B5672">
        <w:rPr>
          <w:sz w:val="28"/>
          <w:szCs w:val="28"/>
        </w:rPr>
        <w:t xml:space="preserve"> </w:t>
      </w:r>
      <w:r w:rsidR="00D83043" w:rsidRPr="008B5672">
        <w:rPr>
          <w:sz w:val="28"/>
          <w:szCs w:val="28"/>
        </w:rPr>
        <w:t>Экономические статьи."</w:t>
      </w:r>
    </w:p>
    <w:p w:rsidR="008540B1" w:rsidRPr="008B5672" w:rsidRDefault="008540B1" w:rsidP="008540B1">
      <w:pPr>
        <w:pStyle w:val="a4"/>
        <w:spacing w:before="0" w:beforeAutospacing="0" w:after="0" w:afterAutospacing="0" w:line="360" w:lineRule="auto"/>
        <w:contextualSpacing/>
        <w:jc w:val="both"/>
        <w:rPr>
          <w:sz w:val="28"/>
          <w:szCs w:val="28"/>
        </w:rPr>
      </w:pPr>
    </w:p>
    <w:sectPr w:rsidR="008540B1" w:rsidRPr="008B5672" w:rsidSect="004E1546">
      <w:footerReference w:type="default" r:id="rId11"/>
      <w:pgSz w:w="11906" w:h="16838"/>
      <w:pgMar w:top="568" w:right="707" w:bottom="709" w:left="1418" w:header="708" w:footer="12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708" w:rsidRDefault="00F64708" w:rsidP="009C5DD5">
      <w:r>
        <w:separator/>
      </w:r>
    </w:p>
  </w:endnote>
  <w:endnote w:type="continuationSeparator" w:id="0">
    <w:p w:rsidR="00F64708" w:rsidRDefault="00F64708" w:rsidP="009C5D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626"/>
      <w:docPartObj>
        <w:docPartGallery w:val="Page Numbers (Bottom of Page)"/>
        <w:docPartUnique/>
      </w:docPartObj>
    </w:sdtPr>
    <w:sdtContent>
      <w:p w:rsidR="004E1546" w:rsidRDefault="00D17729">
        <w:pPr>
          <w:pStyle w:val="ac"/>
          <w:jc w:val="right"/>
        </w:pPr>
        <w:r w:rsidRPr="004E1546">
          <w:rPr>
            <w:sz w:val="20"/>
          </w:rPr>
          <w:fldChar w:fldCharType="begin"/>
        </w:r>
        <w:r w:rsidR="004E1546" w:rsidRPr="004E1546">
          <w:rPr>
            <w:sz w:val="20"/>
          </w:rPr>
          <w:instrText xml:space="preserve"> PAGE   \* MERGEFORMAT </w:instrText>
        </w:r>
        <w:r w:rsidRPr="004E1546">
          <w:rPr>
            <w:sz w:val="20"/>
          </w:rPr>
          <w:fldChar w:fldCharType="separate"/>
        </w:r>
        <w:r w:rsidR="00DF4794">
          <w:rPr>
            <w:noProof/>
            <w:sz w:val="20"/>
          </w:rPr>
          <w:t>1</w:t>
        </w:r>
        <w:r w:rsidRPr="004E1546">
          <w:rPr>
            <w:sz w:val="20"/>
          </w:rPr>
          <w:fldChar w:fldCharType="end"/>
        </w:r>
      </w:p>
    </w:sdtContent>
  </w:sdt>
  <w:p w:rsidR="004E1546" w:rsidRDefault="004E154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708" w:rsidRDefault="00F64708" w:rsidP="009C5DD5">
      <w:r>
        <w:separator/>
      </w:r>
    </w:p>
  </w:footnote>
  <w:footnote w:type="continuationSeparator" w:id="0">
    <w:p w:rsidR="00F64708" w:rsidRDefault="00F64708" w:rsidP="009C5D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765528"/>
    <w:multiLevelType w:val="hybridMultilevel"/>
    <w:tmpl w:val="51EAD786"/>
    <w:lvl w:ilvl="0" w:tplc="693A78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rsids>
    <w:rsidRoot w:val="00B34194"/>
    <w:rsid w:val="000872E6"/>
    <w:rsid w:val="00114428"/>
    <w:rsid w:val="00161177"/>
    <w:rsid w:val="001E3D57"/>
    <w:rsid w:val="004D25A9"/>
    <w:rsid w:val="004E1546"/>
    <w:rsid w:val="008540B1"/>
    <w:rsid w:val="008B5672"/>
    <w:rsid w:val="008F6DB0"/>
    <w:rsid w:val="009C5DD5"/>
    <w:rsid w:val="00A23CD1"/>
    <w:rsid w:val="00B34194"/>
    <w:rsid w:val="00D17729"/>
    <w:rsid w:val="00D83043"/>
    <w:rsid w:val="00DF4794"/>
    <w:rsid w:val="00E04369"/>
    <w:rsid w:val="00E4086E"/>
    <w:rsid w:val="00EE4411"/>
    <w:rsid w:val="00F12F80"/>
    <w:rsid w:val="00F64708"/>
    <w:rsid w:val="00F64F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DD5"/>
    <w:pPr>
      <w:widowControl w:val="0"/>
      <w:spacing w:after="0" w:line="240" w:lineRule="auto"/>
    </w:pPr>
    <w:rPr>
      <w:rFonts w:ascii="Times New Roman" w:eastAsia="Times New Roman" w:hAnsi="Times New Roman" w:cs="Times New Roman"/>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34194"/>
    <w:pPr>
      <w:spacing w:after="0" w:line="240" w:lineRule="auto"/>
    </w:pPr>
  </w:style>
  <w:style w:type="paragraph" w:styleId="a4">
    <w:name w:val="Normal (Web)"/>
    <w:basedOn w:val="a"/>
    <w:uiPriority w:val="99"/>
    <w:rsid w:val="009C5DD5"/>
    <w:pPr>
      <w:widowControl/>
      <w:spacing w:before="100" w:beforeAutospacing="1" w:after="100" w:afterAutospacing="1"/>
    </w:pPr>
    <w:rPr>
      <w:sz w:val="24"/>
      <w:szCs w:val="24"/>
    </w:rPr>
  </w:style>
  <w:style w:type="paragraph" w:styleId="a5">
    <w:name w:val="Balloon Text"/>
    <w:basedOn w:val="a"/>
    <w:link w:val="a6"/>
    <w:uiPriority w:val="99"/>
    <w:semiHidden/>
    <w:unhideWhenUsed/>
    <w:rsid w:val="009C5DD5"/>
    <w:rPr>
      <w:rFonts w:ascii="Tahoma" w:hAnsi="Tahoma" w:cs="Tahoma"/>
      <w:sz w:val="16"/>
      <w:szCs w:val="16"/>
    </w:rPr>
  </w:style>
  <w:style w:type="character" w:customStyle="1" w:styleId="a6">
    <w:name w:val="Текст выноски Знак"/>
    <w:basedOn w:val="a0"/>
    <w:link w:val="a5"/>
    <w:uiPriority w:val="99"/>
    <w:semiHidden/>
    <w:rsid w:val="009C5DD5"/>
    <w:rPr>
      <w:rFonts w:ascii="Tahoma" w:eastAsia="Times New Roman" w:hAnsi="Tahoma" w:cs="Tahoma"/>
      <w:sz w:val="16"/>
      <w:szCs w:val="16"/>
      <w:lang w:eastAsia="ru-RU"/>
    </w:rPr>
  </w:style>
  <w:style w:type="paragraph" w:styleId="a7">
    <w:name w:val="footnote text"/>
    <w:basedOn w:val="a"/>
    <w:link w:val="a8"/>
    <w:uiPriority w:val="99"/>
    <w:semiHidden/>
    <w:rsid w:val="009C5DD5"/>
    <w:pPr>
      <w:widowControl/>
    </w:pPr>
    <w:rPr>
      <w:sz w:val="20"/>
    </w:rPr>
  </w:style>
  <w:style w:type="character" w:customStyle="1" w:styleId="a8">
    <w:name w:val="Текст сноски Знак"/>
    <w:basedOn w:val="a0"/>
    <w:link w:val="a7"/>
    <w:uiPriority w:val="99"/>
    <w:semiHidden/>
    <w:rsid w:val="009C5DD5"/>
    <w:rPr>
      <w:rFonts w:ascii="Times New Roman" w:eastAsia="Times New Roman" w:hAnsi="Times New Roman" w:cs="Times New Roman"/>
      <w:sz w:val="20"/>
      <w:szCs w:val="20"/>
      <w:lang w:eastAsia="ru-RU"/>
    </w:rPr>
  </w:style>
  <w:style w:type="character" w:styleId="a9">
    <w:name w:val="footnote reference"/>
    <w:basedOn w:val="a0"/>
    <w:uiPriority w:val="99"/>
    <w:semiHidden/>
    <w:rsid w:val="009C5DD5"/>
    <w:rPr>
      <w:rFonts w:cs="Times New Roman"/>
      <w:vertAlign w:val="superscript"/>
    </w:rPr>
  </w:style>
  <w:style w:type="paragraph" w:styleId="aa">
    <w:name w:val="header"/>
    <w:basedOn w:val="a"/>
    <w:link w:val="ab"/>
    <w:uiPriority w:val="99"/>
    <w:semiHidden/>
    <w:unhideWhenUsed/>
    <w:rsid w:val="004E1546"/>
    <w:pPr>
      <w:tabs>
        <w:tab w:val="center" w:pos="4677"/>
        <w:tab w:val="right" w:pos="9355"/>
      </w:tabs>
    </w:pPr>
  </w:style>
  <w:style w:type="character" w:customStyle="1" w:styleId="ab">
    <w:name w:val="Верхний колонтитул Знак"/>
    <w:basedOn w:val="a0"/>
    <w:link w:val="aa"/>
    <w:uiPriority w:val="99"/>
    <w:semiHidden/>
    <w:rsid w:val="004E1546"/>
    <w:rPr>
      <w:rFonts w:ascii="Times New Roman" w:eastAsia="Times New Roman" w:hAnsi="Times New Roman" w:cs="Times New Roman"/>
      <w:sz w:val="18"/>
      <w:szCs w:val="20"/>
      <w:lang w:eastAsia="ru-RU"/>
    </w:rPr>
  </w:style>
  <w:style w:type="paragraph" w:styleId="ac">
    <w:name w:val="footer"/>
    <w:basedOn w:val="a"/>
    <w:link w:val="ad"/>
    <w:uiPriority w:val="99"/>
    <w:unhideWhenUsed/>
    <w:rsid w:val="004E1546"/>
    <w:pPr>
      <w:tabs>
        <w:tab w:val="center" w:pos="4677"/>
        <w:tab w:val="right" w:pos="9355"/>
      </w:tabs>
    </w:pPr>
  </w:style>
  <w:style w:type="character" w:customStyle="1" w:styleId="ad">
    <w:name w:val="Нижний колонтитул Знак"/>
    <w:basedOn w:val="a0"/>
    <w:link w:val="ac"/>
    <w:uiPriority w:val="99"/>
    <w:rsid w:val="004E1546"/>
    <w:rPr>
      <w:rFonts w:ascii="Times New Roman" w:eastAsia="Times New Roman" w:hAnsi="Times New Roman" w:cs="Times New Roman"/>
      <w:sz w:val="18"/>
      <w:szCs w:val="20"/>
      <w:lang w:eastAsia="ru-RU"/>
    </w:rPr>
  </w:style>
  <w:style w:type="character" w:styleId="ae">
    <w:name w:val="Hyperlink"/>
    <w:basedOn w:val="a0"/>
    <w:uiPriority w:val="99"/>
    <w:semiHidden/>
    <w:unhideWhenUsed/>
    <w:rsid w:val="00D83043"/>
    <w:rPr>
      <w:color w:val="0000FF"/>
      <w:u w:val="single"/>
    </w:rPr>
  </w:style>
</w:styles>
</file>

<file path=word/webSettings.xml><?xml version="1.0" encoding="utf-8"?>
<w:webSettings xmlns:r="http://schemas.openxmlformats.org/officeDocument/2006/relationships" xmlns:w="http://schemas.openxmlformats.org/wordprocessingml/2006/main">
  <w:divs>
    <w:div w:id="353192345">
      <w:bodyDiv w:val="1"/>
      <w:marLeft w:val="0"/>
      <w:marRight w:val="0"/>
      <w:marTop w:val="0"/>
      <w:marBottom w:val="0"/>
      <w:divBdr>
        <w:top w:val="none" w:sz="0" w:space="0" w:color="auto"/>
        <w:left w:val="none" w:sz="0" w:space="0" w:color="auto"/>
        <w:bottom w:val="none" w:sz="0" w:space="0" w:color="auto"/>
        <w:right w:val="none" w:sz="0" w:space="0" w:color="auto"/>
      </w:divBdr>
      <w:divsChild>
        <w:div w:id="1723556438">
          <w:marLeft w:val="0"/>
          <w:marRight w:val="0"/>
          <w:marTop w:val="0"/>
          <w:marBottom w:val="0"/>
          <w:divBdr>
            <w:top w:val="none" w:sz="0" w:space="0" w:color="auto"/>
            <w:left w:val="none" w:sz="0" w:space="0" w:color="auto"/>
            <w:bottom w:val="none" w:sz="0" w:space="0" w:color="auto"/>
            <w:right w:val="none" w:sz="0" w:space="0" w:color="auto"/>
          </w:divBdr>
          <w:divsChild>
            <w:div w:id="149633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k.com/away.php?utf=1&amp;to=http%3A%2F%2Fwww.ereport.ru%2F" TargetMode="External"/><Relationship Id="rId4" Type="http://schemas.openxmlformats.org/officeDocument/2006/relationships/webSettings" Target="webSettings.xml"/><Relationship Id="rId9" Type="http://schemas.openxmlformats.org/officeDocument/2006/relationships/hyperlink" Target="https://vk.com/away.php?utf=1&amp;to=http%3A%2F%2Fwww.minf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1228</Words>
  <Characters>7003</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Ekaterina</dc:creator>
  <cp:lastModifiedBy>Admin</cp:lastModifiedBy>
  <cp:revision>6</cp:revision>
  <dcterms:created xsi:type="dcterms:W3CDTF">2014-04-26T15:06:00Z</dcterms:created>
  <dcterms:modified xsi:type="dcterms:W3CDTF">2014-10-20T21:17:00Z</dcterms:modified>
</cp:coreProperties>
</file>