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D10" w:rsidRDefault="00933D10" w:rsidP="00933D10">
      <w:p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Содержание</w:t>
      </w: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Введение…………………………………………………………………….</w:t>
      </w:r>
      <w:r w:rsidR="00050B28">
        <w:rPr>
          <w:rFonts w:ascii="Times New Roman" w:hAnsi="Times New Roman" w:cs="Times New Roman"/>
          <w:sz w:val="28"/>
          <w:szCs w:val="28"/>
          <w:shd w:val="clear" w:color="auto" w:fill="FFFFFF"/>
        </w:rPr>
        <w:t>3</w:t>
      </w:r>
    </w:p>
    <w:p w:rsidR="00933D10" w:rsidRDefault="00933D10" w:rsidP="00933D1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933D10">
        <w:rPr>
          <w:rFonts w:ascii="Times New Roman" w:hAnsi="Times New Roman" w:cs="Times New Roman"/>
          <w:sz w:val="28"/>
          <w:szCs w:val="28"/>
        </w:rPr>
        <w:t>Пенсионные фонды и страховые компании на российском рынке ценных бу</w:t>
      </w:r>
      <w:r>
        <w:rPr>
          <w:rFonts w:ascii="Times New Roman" w:hAnsi="Times New Roman" w:cs="Times New Roman"/>
          <w:sz w:val="28"/>
          <w:szCs w:val="28"/>
        </w:rPr>
        <w:t>маг</w:t>
      </w:r>
    </w:p>
    <w:p w:rsidR="00933D10" w:rsidRDefault="00933D10" w:rsidP="00933D10">
      <w:pPr>
        <w:spacing w:line="360" w:lineRule="auto"/>
        <w:jc w:val="both"/>
        <w:rPr>
          <w:rFonts w:ascii="Times New Roman" w:hAnsi="Times New Roman" w:cs="Times New Roman"/>
          <w:sz w:val="28"/>
          <w:szCs w:val="28"/>
        </w:rPr>
      </w:pPr>
      <w:r>
        <w:rPr>
          <w:rFonts w:ascii="Times New Roman" w:hAnsi="Times New Roman" w:cs="Times New Roman"/>
          <w:sz w:val="28"/>
          <w:szCs w:val="28"/>
        </w:rPr>
        <w:t>1.1. Пенсионные фонды на рынке ценных бумаг………………………..</w:t>
      </w:r>
      <w:r w:rsidR="00050B28">
        <w:rPr>
          <w:rFonts w:ascii="Times New Roman" w:hAnsi="Times New Roman" w:cs="Times New Roman"/>
          <w:sz w:val="28"/>
          <w:szCs w:val="28"/>
        </w:rPr>
        <w:t>4</w:t>
      </w:r>
    </w:p>
    <w:p w:rsidR="00933D10" w:rsidRDefault="00933D10" w:rsidP="00933D10">
      <w:pPr>
        <w:spacing w:line="360" w:lineRule="auto"/>
        <w:jc w:val="both"/>
        <w:rPr>
          <w:rFonts w:ascii="Times New Roman" w:hAnsi="Times New Roman" w:cs="Times New Roman"/>
          <w:sz w:val="28"/>
          <w:szCs w:val="28"/>
        </w:rPr>
      </w:pPr>
      <w:r>
        <w:rPr>
          <w:rFonts w:ascii="Times New Roman" w:hAnsi="Times New Roman" w:cs="Times New Roman"/>
          <w:sz w:val="28"/>
          <w:szCs w:val="28"/>
        </w:rPr>
        <w:t>1.2. Страховые компании на рынке ценных бумаг………………………</w:t>
      </w:r>
      <w:r w:rsidR="00050B28">
        <w:rPr>
          <w:rFonts w:ascii="Times New Roman" w:hAnsi="Times New Roman" w:cs="Times New Roman"/>
          <w:sz w:val="28"/>
          <w:szCs w:val="28"/>
        </w:rPr>
        <w:t>9</w:t>
      </w:r>
    </w:p>
    <w:p w:rsidR="00933D10" w:rsidRDefault="00933D10" w:rsidP="00933D1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902427">
        <w:rPr>
          <w:rFonts w:ascii="Times New Roman" w:hAnsi="Times New Roman" w:cs="Times New Roman"/>
          <w:sz w:val="28"/>
          <w:szCs w:val="28"/>
        </w:rPr>
        <w:t>На примере любой управляющей компании покажите основные стратегии инвестирования (на примере различных фондов)</w:t>
      </w:r>
      <w:r>
        <w:rPr>
          <w:rFonts w:ascii="Times New Roman" w:hAnsi="Times New Roman" w:cs="Times New Roman"/>
          <w:sz w:val="28"/>
          <w:szCs w:val="28"/>
        </w:rPr>
        <w:t>……………………</w:t>
      </w:r>
      <w:r w:rsidR="00050B28">
        <w:rPr>
          <w:rFonts w:ascii="Times New Roman" w:hAnsi="Times New Roman" w:cs="Times New Roman"/>
          <w:sz w:val="28"/>
          <w:szCs w:val="28"/>
        </w:rPr>
        <w:t>...13</w:t>
      </w:r>
    </w:p>
    <w:p w:rsidR="00933D10" w:rsidRDefault="00933D10" w:rsidP="00933D10">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050B28">
        <w:rPr>
          <w:rFonts w:ascii="Times New Roman" w:hAnsi="Times New Roman" w:cs="Times New Roman"/>
          <w:sz w:val="28"/>
          <w:szCs w:val="28"/>
        </w:rPr>
        <w:t>………………………………………..17</w:t>
      </w:r>
    </w:p>
    <w:p w:rsidR="00933D10" w:rsidRPr="00933D10" w:rsidRDefault="00933D10" w:rsidP="00933D10">
      <w:p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Список литературы……………………………………………………….</w:t>
      </w:r>
      <w:r w:rsidR="00050B28">
        <w:rPr>
          <w:rFonts w:ascii="Times New Roman" w:hAnsi="Times New Roman" w:cs="Times New Roman"/>
          <w:sz w:val="28"/>
          <w:szCs w:val="28"/>
        </w:rPr>
        <w:t>18</w:t>
      </w: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933D10" w:rsidRDefault="00933D10" w:rsidP="00933D10">
      <w:pPr>
        <w:spacing w:line="360" w:lineRule="auto"/>
        <w:jc w:val="both"/>
        <w:rPr>
          <w:rFonts w:ascii="Times New Roman" w:hAnsi="Times New Roman" w:cs="Times New Roman"/>
          <w:sz w:val="28"/>
          <w:szCs w:val="28"/>
          <w:shd w:val="clear" w:color="auto" w:fill="FFFFFF"/>
        </w:rPr>
      </w:pPr>
    </w:p>
    <w:p w:rsidR="0044210B" w:rsidRDefault="00664186" w:rsidP="00933D10">
      <w:pPr>
        <w:spacing w:line="360" w:lineRule="auto"/>
        <w:jc w:val="both"/>
        <w:rPr>
          <w:rFonts w:ascii="Times New Roman" w:hAnsi="Times New Roman" w:cs="Times New Roman"/>
          <w:sz w:val="28"/>
          <w:szCs w:val="28"/>
          <w:shd w:val="clear" w:color="auto" w:fill="FFFFFF"/>
        </w:rPr>
      </w:pPr>
      <w:r w:rsidRPr="0044210B">
        <w:rPr>
          <w:rFonts w:ascii="Times New Roman" w:hAnsi="Times New Roman" w:cs="Times New Roman"/>
          <w:sz w:val="28"/>
          <w:szCs w:val="28"/>
          <w:shd w:val="clear" w:color="auto" w:fill="FFFFFF"/>
        </w:rPr>
        <w:lastRenderedPageBreak/>
        <w:t>Введение</w:t>
      </w:r>
    </w:p>
    <w:p w:rsidR="00664186" w:rsidRPr="0044210B" w:rsidRDefault="00933D10" w:rsidP="00933D10">
      <w:pPr>
        <w:tabs>
          <w:tab w:val="left" w:pos="99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664186" w:rsidRPr="0044210B">
        <w:rPr>
          <w:rFonts w:ascii="Times New Roman" w:hAnsi="Times New Roman" w:cs="Times New Roman"/>
          <w:sz w:val="28"/>
          <w:szCs w:val="28"/>
        </w:rPr>
        <w:br/>
      </w:r>
      <w:r w:rsidR="00664186" w:rsidRPr="0044210B">
        <w:rPr>
          <w:rFonts w:ascii="Times New Roman" w:hAnsi="Times New Roman" w:cs="Times New Roman"/>
          <w:sz w:val="28"/>
          <w:szCs w:val="28"/>
          <w:shd w:val="clear" w:color="auto" w:fill="FFFFFF"/>
        </w:rPr>
        <w:t>           </w:t>
      </w:r>
      <w:r w:rsidR="00664186" w:rsidRPr="0044210B">
        <w:rPr>
          <w:rStyle w:val="apple-converted-space"/>
          <w:rFonts w:ascii="Times New Roman" w:hAnsi="Times New Roman" w:cs="Times New Roman"/>
          <w:sz w:val="28"/>
          <w:szCs w:val="28"/>
          <w:shd w:val="clear" w:color="auto" w:fill="FFFFFF"/>
        </w:rPr>
        <w:t> </w:t>
      </w:r>
      <w:r w:rsidR="00664186" w:rsidRPr="0044210B">
        <w:rPr>
          <w:rFonts w:ascii="Times New Roman" w:hAnsi="Times New Roman" w:cs="Times New Roman"/>
          <w:sz w:val="28"/>
          <w:szCs w:val="28"/>
          <w:shd w:val="clear" w:color="auto" w:fill="FFFFFF"/>
        </w:rPr>
        <w:t>Развитый рынок ценных бумаг служит основой для привлечения различных инвесторов, например таких, как страховые компании. Страховые компании, выступая в роли участников рынка ценных бумаг, характеризуются как активные инвесторы. В целях обеспечения финансовой устойчивости и гарантий выплат они законодательно обязаны инвестировать страховые резервы на принципах диверсификации, возвратности, прибыльности и ликвидности.</w:t>
      </w:r>
    </w:p>
    <w:p w:rsidR="00664186" w:rsidRPr="0044210B" w:rsidRDefault="00664186" w:rsidP="00933D10">
      <w:pPr>
        <w:spacing w:line="360" w:lineRule="auto"/>
        <w:ind w:firstLine="708"/>
        <w:jc w:val="both"/>
        <w:rPr>
          <w:rFonts w:ascii="Times New Roman" w:hAnsi="Times New Roman" w:cs="Times New Roman"/>
          <w:sz w:val="28"/>
          <w:szCs w:val="28"/>
        </w:rPr>
      </w:pPr>
      <w:r w:rsidRPr="0044210B">
        <w:rPr>
          <w:rFonts w:ascii="Times New Roman" w:hAnsi="Times New Roman" w:cs="Times New Roman"/>
          <w:sz w:val="28"/>
          <w:szCs w:val="28"/>
          <w:shd w:val="clear" w:color="auto" w:fill="FFFFFF"/>
        </w:rPr>
        <w:t>Главной задачей страховых компаний является защита имущественных интересов физических и юридических лиц. Её выполнение определяет линию поведения этих организаций, в частности, на рынке ценных бумаг. Имущественное страхование и страхование ответственности становятся приоритетными видами услуг, предоставляемых страховыми компаниями.</w:t>
      </w:r>
    </w:p>
    <w:p w:rsidR="00664186" w:rsidRPr="0044210B" w:rsidRDefault="00664186" w:rsidP="00933D10">
      <w:pPr>
        <w:spacing w:line="360" w:lineRule="auto"/>
        <w:ind w:firstLine="708"/>
        <w:jc w:val="both"/>
        <w:rPr>
          <w:rFonts w:ascii="Times New Roman" w:hAnsi="Times New Roman" w:cs="Times New Roman"/>
          <w:sz w:val="28"/>
          <w:szCs w:val="28"/>
        </w:rPr>
      </w:pPr>
      <w:r w:rsidRPr="0044210B">
        <w:rPr>
          <w:rFonts w:ascii="Times New Roman" w:hAnsi="Times New Roman" w:cs="Times New Roman"/>
          <w:sz w:val="28"/>
          <w:szCs w:val="28"/>
          <w:shd w:val="clear" w:color="auto" w:fill="FFFFFF"/>
        </w:rPr>
        <w:t>Пенсионные фонды также входят в группу участников рынка ценных бумаг. Организация и функционирование этих фондов связаны с переходом России к новой системе экономических отношений. Основной задачей пенсионных фондов является обеспечение социальной поддержки населения. С этой целью пенсионные фонды осуществляют накопление добровольных пенсионных взносов с созданием пенсионных резервов и их размещением с соблюдением принципов надежности, сохранности, ликвидности, доходности и диверсификации. В результате доход, полученный от размещения пенсионных резервов, направляется на их пополнение.</w:t>
      </w:r>
    </w:p>
    <w:p w:rsidR="00664186" w:rsidRPr="0044210B" w:rsidRDefault="00664186" w:rsidP="00933D10">
      <w:pPr>
        <w:spacing w:line="360" w:lineRule="auto"/>
        <w:ind w:firstLine="708"/>
        <w:jc w:val="both"/>
        <w:rPr>
          <w:rFonts w:ascii="Times New Roman" w:hAnsi="Times New Roman" w:cs="Times New Roman"/>
          <w:sz w:val="28"/>
          <w:szCs w:val="28"/>
          <w:shd w:val="clear" w:color="auto" w:fill="FFFFFF"/>
        </w:rPr>
      </w:pPr>
      <w:r w:rsidRPr="0044210B">
        <w:rPr>
          <w:rFonts w:ascii="Times New Roman" w:hAnsi="Times New Roman" w:cs="Times New Roman"/>
          <w:sz w:val="28"/>
          <w:szCs w:val="28"/>
          <w:shd w:val="clear" w:color="auto" w:fill="FFFFFF"/>
        </w:rPr>
        <w:t>Цель данной работы, подробно рассмотреть страховые компании и негосударственные пенсионные фонды, как участников рынка ценных бумаг.</w:t>
      </w:r>
    </w:p>
    <w:p w:rsidR="00664186" w:rsidRPr="0044210B" w:rsidRDefault="00664186" w:rsidP="00933D10">
      <w:pPr>
        <w:spacing w:line="360" w:lineRule="auto"/>
        <w:ind w:firstLine="708"/>
        <w:jc w:val="both"/>
        <w:rPr>
          <w:sz w:val="27"/>
          <w:szCs w:val="27"/>
          <w:shd w:val="clear" w:color="auto" w:fill="FFFFFF"/>
        </w:rPr>
      </w:pPr>
    </w:p>
    <w:p w:rsidR="0044210B" w:rsidRPr="0044210B" w:rsidRDefault="0044210B" w:rsidP="00933D10">
      <w:pPr>
        <w:jc w:val="both"/>
        <w:rPr>
          <w:sz w:val="27"/>
          <w:szCs w:val="27"/>
          <w:shd w:val="clear" w:color="auto" w:fill="FFFFFF"/>
        </w:rPr>
      </w:pPr>
    </w:p>
    <w:p w:rsidR="00664186" w:rsidRPr="0044210B" w:rsidRDefault="00664186" w:rsidP="00630552">
      <w:pPr>
        <w:spacing w:line="360" w:lineRule="auto"/>
        <w:jc w:val="both"/>
        <w:rPr>
          <w:rFonts w:ascii="Times New Roman" w:hAnsi="Times New Roman" w:cs="Times New Roman"/>
          <w:sz w:val="28"/>
          <w:szCs w:val="28"/>
        </w:rPr>
      </w:pPr>
      <w:r w:rsidRPr="0044210B">
        <w:rPr>
          <w:rFonts w:ascii="Times New Roman" w:hAnsi="Times New Roman" w:cs="Times New Roman"/>
          <w:sz w:val="28"/>
          <w:szCs w:val="28"/>
        </w:rPr>
        <w:lastRenderedPageBreak/>
        <w:t>1.Пенсионные фонды и страховые компании на российском рынке ценных бумаг</w:t>
      </w:r>
    </w:p>
    <w:p w:rsidR="00664186" w:rsidRPr="0044210B" w:rsidRDefault="00664186" w:rsidP="00630552">
      <w:pPr>
        <w:spacing w:line="360" w:lineRule="auto"/>
        <w:jc w:val="both"/>
        <w:rPr>
          <w:rFonts w:ascii="Times New Roman" w:hAnsi="Times New Roman" w:cs="Times New Roman"/>
          <w:sz w:val="28"/>
          <w:szCs w:val="28"/>
        </w:rPr>
      </w:pPr>
      <w:r w:rsidRPr="0044210B">
        <w:rPr>
          <w:rFonts w:ascii="Times New Roman" w:hAnsi="Times New Roman" w:cs="Times New Roman"/>
          <w:sz w:val="28"/>
          <w:szCs w:val="28"/>
        </w:rPr>
        <w:t>1.1  Пенсионные фонды на рынке ценных бумаг.</w:t>
      </w:r>
    </w:p>
    <w:p w:rsidR="00E83A31" w:rsidRPr="0044210B" w:rsidRDefault="00664186" w:rsidP="00630552">
      <w:pPr>
        <w:pStyle w:val="a6"/>
        <w:shd w:val="clear" w:color="auto" w:fill="F5F5F5"/>
        <w:spacing w:before="0" w:beforeAutospacing="0" w:after="0" w:afterAutospacing="0" w:line="360" w:lineRule="auto"/>
        <w:jc w:val="both"/>
        <w:rPr>
          <w:sz w:val="28"/>
          <w:szCs w:val="28"/>
        </w:rPr>
      </w:pPr>
      <w:r w:rsidRPr="0044210B">
        <w:rPr>
          <w:sz w:val="28"/>
          <w:szCs w:val="28"/>
        </w:rPr>
        <w:tab/>
      </w:r>
      <w:r w:rsidR="00E83A31" w:rsidRPr="0044210B">
        <w:rPr>
          <w:sz w:val="28"/>
          <w:szCs w:val="28"/>
        </w:rPr>
        <w:t>Российский финансовый рынок не похож на рынки других стран: он значительно меньше масштабов российской экономики и не оказывает на нее существенного влияния. Но ситуацию могут исправить деньги будущих пенсионеров, размещенные в пенсионных фондах. Если этот капитал с умом инвестировать в российские акции и облигации, страна преобразится, а пенсионеры смогут хорошо заработать. Кроме того, пенсионные фонды смогут скупить продаваемое казенное имущество</w:t>
      </w:r>
    </w:p>
    <w:p w:rsidR="00E83A31" w:rsidRPr="0044210B"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Goldman Sachs исследовал состояние институциональных инвесторов в России — тех, на кого так надеется правительство в деле ускорения роста экономики и улучшения инфраструктуры. Оказалось, что самые важные из них — это пенсионные фонды. Они могут снизить доходность по гособлигациям, стабилизировать рынок акций, сократить гигантские премии за риск, и даже помочь правительству с приватизацией.</w:t>
      </w:r>
    </w:p>
    <w:p w:rsidR="00E83A31" w:rsidRPr="00A221FF"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Пенсионные фонды и российские банки играют доминирующую роль на рынке облигаций — на них приходится 80% рынка. Несмотря на скорый приход иностранных инвесторов на рынок облигаций, в GS уверены, что роль пенсионных фондов на российском финансовом рынке будет расти. Активы под управлением пенсионных фондов в конце прошлого года составили всего 5% ВВП. Примерно такой же уровень в Чехии, но это меньше, чем в Польше или Латинской Америке. Но капитал фондов быстро растет, с 2007 году их доля в ВВП, практически, удвоилась.</w:t>
      </w:r>
      <w:r w:rsidR="00A221FF" w:rsidRPr="00A221FF">
        <w:rPr>
          <w:sz w:val="28"/>
          <w:szCs w:val="28"/>
        </w:rPr>
        <w:t xml:space="preserve"> [</w:t>
      </w:r>
      <w:r w:rsidR="00A221FF">
        <w:rPr>
          <w:sz w:val="28"/>
          <w:szCs w:val="28"/>
          <w:lang w:val="en-US"/>
        </w:rPr>
        <w:t>1</w:t>
      </w:r>
      <w:r w:rsidR="00A221FF" w:rsidRPr="00A221FF">
        <w:rPr>
          <w:sz w:val="28"/>
          <w:szCs w:val="28"/>
        </w:rPr>
        <w:t>]</w:t>
      </w:r>
    </w:p>
    <w:p w:rsidR="00E83A31" w:rsidRPr="0044210B"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 xml:space="preserve">Пусть в масштабах российской экономики фонды не такие уж и большие, но в масштабах российского финансового рынка они — настоящие гиганты. Под управлением инвестиционных фондов находится активов на 3,1 трлн руб. Рынок государственных облигаций сейчас составляет 3,3 трлн руб, а корпоративных — 4,2 трлн руб. Теоретически, пенсионные фонды могли </w:t>
      </w:r>
      <w:r w:rsidRPr="0044210B">
        <w:rPr>
          <w:sz w:val="28"/>
          <w:szCs w:val="28"/>
        </w:rPr>
        <w:lastRenderedPageBreak/>
        <w:t>бы захватить 45% рынка облигаций с учетом того, что они практически не вкладывают деньги в акции.</w:t>
      </w:r>
    </w:p>
    <w:p w:rsidR="00E83A31" w:rsidRPr="0044210B"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Но в России сложилась «ненормальная» для других стран ситуация: пенсионные фонды начали класть деньги на депозиты в банках, так как они дают большой доход, чем государственные облигации. Это означает, что пенсионные фонды уже переросли рынок государственных облигаций, на котором они раньше были полностью сосредоточены. Их активность меняет структуру рынка. В России рынок корпоративных облигаций стал уже довольно объемным, особенно по стандартам развивающихся стран. Сейчас рынок корпоративных облигаций больше рынка государственных и продолжает расти.</w:t>
      </w:r>
    </w:p>
    <w:p w:rsidR="00E83A31" w:rsidRPr="0044210B" w:rsidRDefault="00E83A31" w:rsidP="00630552">
      <w:pPr>
        <w:pStyle w:val="a6"/>
        <w:shd w:val="clear" w:color="auto" w:fill="F5F5F5"/>
        <w:spacing w:before="0" w:beforeAutospacing="0" w:after="0" w:afterAutospacing="0" w:line="315" w:lineRule="atLeast"/>
        <w:jc w:val="both"/>
        <w:rPr>
          <w:rFonts w:ascii="Arial" w:hAnsi="Arial" w:cs="Arial"/>
          <w:sz w:val="23"/>
          <w:szCs w:val="23"/>
        </w:rPr>
      </w:pPr>
      <w:r w:rsidRPr="0044210B">
        <w:rPr>
          <w:rFonts w:ascii="Arial" w:hAnsi="Arial" w:cs="Arial"/>
          <w:noProof/>
          <w:sz w:val="23"/>
          <w:szCs w:val="23"/>
        </w:rPr>
        <w:drawing>
          <wp:inline distT="0" distB="0" distL="0" distR="0">
            <wp:extent cx="5886450" cy="3543300"/>
            <wp:effectExtent l="19050" t="0" r="0" b="0"/>
            <wp:docPr id="1" name="Рисунок 1" descr="Goldman Sachs: российские пенсионные фонды могут поднять рынок ак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ldman Sachs: российские пенсионные фонды могут поднять рынок акций"/>
                    <pic:cNvPicPr>
                      <a:picLocks noChangeAspect="1" noChangeArrowheads="1"/>
                    </pic:cNvPicPr>
                  </pic:nvPicPr>
                  <pic:blipFill>
                    <a:blip r:embed="rId8"/>
                    <a:srcRect/>
                    <a:stretch>
                      <a:fillRect/>
                    </a:stretch>
                  </pic:blipFill>
                  <pic:spPr bwMode="auto">
                    <a:xfrm>
                      <a:off x="0" y="0"/>
                      <a:ext cx="5886450" cy="3543300"/>
                    </a:xfrm>
                    <a:prstGeom prst="rect">
                      <a:avLst/>
                    </a:prstGeom>
                    <a:noFill/>
                    <a:ln w="9525">
                      <a:noFill/>
                      <a:miter lim="800000"/>
                      <a:headEnd/>
                      <a:tailEnd/>
                    </a:ln>
                  </pic:spPr>
                </pic:pic>
              </a:graphicData>
            </a:graphic>
          </wp:inline>
        </w:drawing>
      </w:r>
    </w:p>
    <w:p w:rsidR="00E83A31" w:rsidRPr="00A221FF" w:rsidRDefault="00E83A31" w:rsidP="00630552">
      <w:pPr>
        <w:pStyle w:val="a6"/>
        <w:shd w:val="clear" w:color="auto" w:fill="F5F5F5"/>
        <w:spacing w:before="0" w:beforeAutospacing="0" w:after="0" w:afterAutospacing="0" w:line="360" w:lineRule="auto"/>
        <w:ind w:firstLine="708"/>
        <w:jc w:val="both"/>
        <w:rPr>
          <w:sz w:val="28"/>
          <w:szCs w:val="28"/>
          <w:lang w:val="en-US"/>
        </w:rPr>
      </w:pPr>
      <w:r w:rsidRPr="0044210B">
        <w:rPr>
          <w:sz w:val="28"/>
          <w:szCs w:val="28"/>
        </w:rPr>
        <w:t>В 2009 году ВЭБу из-за кризиса разрешили инвестировать в корпоративные облигации некоторых эмитентов и класть деньги на депозиты в банки. Если в конце 2010 года доля госбумаг в портфеле ВЭБа составляла 97%, то к третьему кварталу 2012 году снизилась до 58%. В банковские депозиты было инвестировано 16% активов, а в корпоративные бумаги — 15%.</w:t>
      </w:r>
      <w:r w:rsidR="00A221FF" w:rsidRPr="00A221FF">
        <w:rPr>
          <w:sz w:val="28"/>
          <w:szCs w:val="28"/>
        </w:rPr>
        <w:t xml:space="preserve"> </w:t>
      </w:r>
      <w:r w:rsidR="00A221FF">
        <w:rPr>
          <w:sz w:val="28"/>
          <w:szCs w:val="28"/>
          <w:lang w:val="en-US"/>
        </w:rPr>
        <w:t>[1]</w:t>
      </w:r>
    </w:p>
    <w:p w:rsidR="00E83A31"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lastRenderedPageBreak/>
        <w:t>На этом</w:t>
      </w:r>
      <w:r w:rsidR="00E83A31" w:rsidRPr="0044210B">
        <w:rPr>
          <w:sz w:val="28"/>
          <w:szCs w:val="28"/>
        </w:rPr>
        <w:t xml:space="preserve"> фоне ограничения, наложенные на частные пенсионные фонды, выглядят довольно мягкими. 65% своих активов они могут вложить в акции, а еще 20% — в банковские депозиты. Облигации российских эмитентов должны не превышать 80% объемов фонда.</w:t>
      </w:r>
    </w:p>
    <w:p w:rsidR="00E83A31" w:rsidRPr="0044210B"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Российские пенсионные фонды все равно продолжают инвестировать в корпоративные и государственные облигаци. Еще до кризиса пенсионные фонды вкладывали в акции 1/4 обязательных накоплений граждан. К концу 2011 года доля акций упала до 8-9%.</w:t>
      </w:r>
    </w:p>
    <w:p w:rsidR="00E83A31" w:rsidRPr="0044210B" w:rsidRDefault="00E83A31"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Низкая популярность акций связана с осторожностью менеджеров фондов после кризиса и с несовершенством российского законодательства. До кризиса многие фонды вложили в акции до 60% своих средств, полностью проигнорировав риски. Это привело к значительным потерям и тысячам исков от вкладчиков. Теперь управляющие частных пенсионных фондов ведут себя с акциями очень осторожно.</w:t>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До кризиса управляющие пенсионными фондами покупали акции, но тогда это особого влияния на рынок не оказывало, так как сами фонды были небольшими.</w:t>
      </w:r>
    </w:p>
    <w:p w:rsidR="0044210B" w:rsidRPr="0044210B" w:rsidRDefault="0044210B" w:rsidP="00630552">
      <w:pPr>
        <w:pStyle w:val="a6"/>
        <w:shd w:val="clear" w:color="auto" w:fill="F5F5F5"/>
        <w:spacing w:before="0" w:beforeAutospacing="0" w:after="0" w:afterAutospacing="0" w:line="360" w:lineRule="auto"/>
        <w:jc w:val="both"/>
        <w:rPr>
          <w:sz w:val="28"/>
          <w:szCs w:val="28"/>
        </w:rPr>
      </w:pPr>
      <w:r w:rsidRPr="0044210B">
        <w:rPr>
          <w:sz w:val="28"/>
          <w:szCs w:val="28"/>
        </w:rPr>
        <w:t>Но если пенсионные фонды выйдут на рынок сейчас, то изменения будут заметны.</w:t>
      </w:r>
    </w:p>
    <w:p w:rsidR="0044210B" w:rsidRPr="0044210B" w:rsidRDefault="0044210B" w:rsidP="00630552">
      <w:pPr>
        <w:pStyle w:val="a6"/>
        <w:shd w:val="clear" w:color="auto" w:fill="F5F5F5"/>
        <w:spacing w:before="0" w:beforeAutospacing="0" w:after="0" w:afterAutospacing="0" w:line="360" w:lineRule="auto"/>
        <w:jc w:val="both"/>
        <w:rPr>
          <w:sz w:val="28"/>
          <w:szCs w:val="28"/>
        </w:rPr>
      </w:pPr>
      <w:r w:rsidRPr="0044210B">
        <w:rPr>
          <w:sz w:val="28"/>
          <w:szCs w:val="28"/>
        </w:rPr>
        <w:t>Во-первых, размеры фондов значительно выросли. Во-вторых, все больше участников накопительной системы решают перевести свои накопления из ВЭБ в частные фонды. Если в 2007 году лишь 5% участников системы вывели свои накопления из ВТБ, то во втором квартале 2012 года таких уже стало 16%. К концу года их доля вырастет до 25%.</w:t>
      </w:r>
    </w:p>
    <w:p w:rsidR="0044210B" w:rsidRPr="00A221FF" w:rsidRDefault="0044210B" w:rsidP="00630552">
      <w:pPr>
        <w:pStyle w:val="a6"/>
        <w:shd w:val="clear" w:color="auto" w:fill="F5F5F5"/>
        <w:spacing w:before="0" w:beforeAutospacing="0" w:after="0" w:afterAutospacing="0" w:line="360" w:lineRule="auto"/>
        <w:ind w:firstLine="708"/>
        <w:jc w:val="both"/>
        <w:rPr>
          <w:sz w:val="28"/>
          <w:szCs w:val="28"/>
          <w:lang w:val="en-US"/>
        </w:rPr>
      </w:pPr>
      <w:r w:rsidRPr="0044210B">
        <w:rPr>
          <w:sz w:val="28"/>
          <w:szCs w:val="28"/>
        </w:rPr>
        <w:t>Среди них много людей с высоким доходом, а это означает, что к концу года в руках частных фондов окажется примерно 1/3 обязательных пенсионных накоплений.</w:t>
      </w:r>
      <w:r w:rsidR="00A221FF" w:rsidRPr="00A221FF">
        <w:rPr>
          <w:sz w:val="28"/>
          <w:szCs w:val="28"/>
        </w:rPr>
        <w:t xml:space="preserve"> </w:t>
      </w:r>
      <w:r w:rsidR="00A221FF">
        <w:rPr>
          <w:sz w:val="28"/>
          <w:szCs w:val="28"/>
          <w:lang w:val="en-US"/>
        </w:rPr>
        <w:t>[2]</w:t>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 xml:space="preserve">Если учесть добровольные пожертвования, то половина всех накоплений пенсионной системы окажется в руках частных фондов. Это $60 млрд, из которых половина может быть инвестирована в акции. При этом </w:t>
      </w:r>
      <w:r w:rsidRPr="0044210B">
        <w:rPr>
          <w:sz w:val="28"/>
          <w:szCs w:val="28"/>
        </w:rPr>
        <w:lastRenderedPageBreak/>
        <w:t>весь рынок российских акций можно оценить в $250 млрд. В этом случае пенсионные средства действительно имеют значение.</w:t>
      </w:r>
    </w:p>
    <w:p w:rsidR="0044210B" w:rsidRPr="0044210B" w:rsidRDefault="0044210B" w:rsidP="00630552">
      <w:pPr>
        <w:pStyle w:val="a6"/>
        <w:shd w:val="clear" w:color="auto" w:fill="F5F5F5"/>
        <w:spacing w:before="0" w:beforeAutospacing="0" w:after="0" w:afterAutospacing="0" w:line="360" w:lineRule="auto"/>
        <w:jc w:val="both"/>
        <w:rPr>
          <w:sz w:val="28"/>
          <w:szCs w:val="28"/>
        </w:rPr>
      </w:pPr>
      <w:r w:rsidRPr="0044210B">
        <w:rPr>
          <w:sz w:val="28"/>
          <w:szCs w:val="28"/>
        </w:rPr>
        <w:t>Сейчас частные фонды владеют 20% акций, находящихся в свободном потоке, в 2006/2007 годах их было всего 5%. Это соотношение может расти и дальше в зависимости от темпов выпуска акций и рыночных показателей.</w:t>
      </w:r>
    </w:p>
    <w:p w:rsidR="0044210B" w:rsidRPr="0044210B" w:rsidRDefault="0044210B" w:rsidP="00630552">
      <w:pPr>
        <w:pStyle w:val="a6"/>
        <w:shd w:val="clear" w:color="auto" w:fill="F5F5F5"/>
        <w:spacing w:before="0" w:beforeAutospacing="0" w:after="0" w:afterAutospacing="0" w:line="360" w:lineRule="auto"/>
        <w:jc w:val="both"/>
        <w:rPr>
          <w:sz w:val="28"/>
          <w:szCs w:val="28"/>
        </w:rPr>
      </w:pPr>
      <w:r w:rsidRPr="0044210B">
        <w:rPr>
          <w:noProof/>
          <w:sz w:val="28"/>
          <w:szCs w:val="28"/>
        </w:rPr>
        <w:drawing>
          <wp:inline distT="0" distB="0" distL="0" distR="0">
            <wp:extent cx="5667375" cy="3038475"/>
            <wp:effectExtent l="19050" t="0" r="9525" b="0"/>
            <wp:docPr id="3" name="Рисунок 3" descr="Goldman Sachs: российские пенсионные фонды могут поднять рынок ак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ldman Sachs: российские пенсионные фонды могут поднять рынок акций"/>
                    <pic:cNvPicPr>
                      <a:picLocks noChangeAspect="1" noChangeArrowheads="1"/>
                    </pic:cNvPicPr>
                  </pic:nvPicPr>
                  <pic:blipFill>
                    <a:blip r:embed="rId9"/>
                    <a:srcRect/>
                    <a:stretch>
                      <a:fillRect/>
                    </a:stretch>
                  </pic:blipFill>
                  <pic:spPr bwMode="auto">
                    <a:xfrm>
                      <a:off x="0" y="0"/>
                      <a:ext cx="5667375" cy="3038475"/>
                    </a:xfrm>
                    <a:prstGeom prst="rect">
                      <a:avLst/>
                    </a:prstGeom>
                    <a:noFill/>
                    <a:ln w="9525">
                      <a:noFill/>
                      <a:miter lim="800000"/>
                      <a:headEnd/>
                      <a:tailEnd/>
                    </a:ln>
                  </pic:spPr>
                </pic:pic>
              </a:graphicData>
            </a:graphic>
          </wp:inline>
        </w:drawing>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Правительства запустило обширную программу приватизации, при этом власти твердо решили, что акции будут размещаться только на внутреннем рынке. Местные институциональные инвесторы могут облегчить процесс приватизации и выступить покупателями. Да и приватизацию с политической точки зрения будет провести проще, если покупателями станут российские пенсионные фонды.</w:t>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Местные пенсионные фонды могут быть достаточно большими, чтобы справиться с приватизацией. В год правительство планирует продавать активов на $10 млрд.</w:t>
      </w:r>
    </w:p>
    <w:p w:rsidR="00630552"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Объемы средств под управлением частных пенсионных фондов будут ежегодно расти на $10-15 млрд. При этом даже обязательная часть накоплений инвестируется в акции куда ниже своего потенциала: всего 10% против 65%, разрешенных по закону.</w:t>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lastRenderedPageBreak/>
        <w:t>Если частным фондам дать правильную мотивацию, они начнут покупать акции. Это позволит рынку выкупить активы, размещенные в ходе приватизации.</w:t>
      </w:r>
    </w:p>
    <w:p w:rsidR="0044210B" w:rsidRPr="0044210B" w:rsidRDefault="0044210B" w:rsidP="00630552">
      <w:pPr>
        <w:pStyle w:val="a6"/>
        <w:shd w:val="clear" w:color="auto" w:fill="F5F5F5"/>
        <w:spacing w:before="0" w:beforeAutospacing="0" w:after="0" w:afterAutospacing="0" w:line="360" w:lineRule="auto"/>
        <w:ind w:firstLine="708"/>
        <w:jc w:val="both"/>
        <w:rPr>
          <w:sz w:val="28"/>
          <w:szCs w:val="28"/>
        </w:rPr>
      </w:pPr>
      <w:r w:rsidRPr="0044210B">
        <w:rPr>
          <w:sz w:val="28"/>
          <w:szCs w:val="28"/>
        </w:rPr>
        <w:t>Конечно, эти прогнозы стоит рассматривать с учетом того, что в России проводится реформа пенсионной системы. Сейчас в накопительную часть пенсии отчисляется 6% доходов, эти выплаты планируется снизить до 2%. Однако граждане все-таки получат право выбора относительно судьбы 4% своей зарплаты — накапливать ее или отдать государству.</w:t>
      </w:r>
    </w:p>
    <w:p w:rsidR="00664186" w:rsidRDefault="00664186"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jc w:val="both"/>
      </w:pPr>
    </w:p>
    <w:p w:rsidR="0044210B" w:rsidRDefault="0044210B" w:rsidP="00630552">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1.2. Страховые компании на рынке ценных бумаг.</w:t>
      </w:r>
    </w:p>
    <w:p w:rsidR="00D54100" w:rsidRDefault="00D54100" w:rsidP="00630552">
      <w:pPr>
        <w:spacing w:line="360" w:lineRule="auto"/>
        <w:jc w:val="both"/>
        <w:rPr>
          <w:rFonts w:ascii="Times New Roman" w:hAnsi="Times New Roman" w:cs="Times New Roman"/>
          <w:sz w:val="28"/>
          <w:szCs w:val="28"/>
        </w:rPr>
      </w:pPr>
    </w:p>
    <w:p w:rsidR="00630552" w:rsidRDefault="00D54100" w:rsidP="00630552">
      <w:pPr>
        <w:spacing w:line="360" w:lineRule="auto"/>
        <w:ind w:firstLine="708"/>
        <w:jc w:val="both"/>
        <w:rPr>
          <w:rFonts w:ascii="Times New Roman" w:hAnsi="Times New Roman" w:cs="Times New Roman"/>
          <w:color w:val="000000"/>
          <w:sz w:val="28"/>
          <w:szCs w:val="28"/>
          <w:shd w:val="clear" w:color="auto" w:fill="FFFFFF"/>
        </w:rPr>
      </w:pPr>
      <w:r w:rsidRPr="003645B3">
        <w:rPr>
          <w:rFonts w:ascii="Times New Roman" w:hAnsi="Times New Roman" w:cs="Times New Roman"/>
          <w:color w:val="000000"/>
          <w:sz w:val="28"/>
          <w:szCs w:val="28"/>
          <w:shd w:val="clear" w:color="auto" w:fill="FFFFFF"/>
        </w:rPr>
        <w:t>Страховые компании являются активными участниками фондового рынка. Специфика их функционирования предполагает, с одной стороны, безусловное выполнение принятых обязательств перед клиентами, а с другой, поскольку они не являются предприятиями материальной сферы производства, — возникает необходимость наращивания собственных активов путем совершения операций, например, на рынке ценных бумаг. Стратегия и тактика их поведения на фондовом рынке регулируются современными законодательными актами, внутриведомственными положениями и инструкциями.</w:t>
      </w:r>
    </w:p>
    <w:p w:rsidR="00630552" w:rsidRPr="00630552" w:rsidRDefault="003645B3" w:rsidP="00630552">
      <w:pPr>
        <w:spacing w:line="360" w:lineRule="auto"/>
        <w:ind w:firstLine="708"/>
        <w:jc w:val="both"/>
        <w:rPr>
          <w:rFonts w:ascii="Times New Roman" w:hAnsi="Times New Roman" w:cs="Times New Roman"/>
          <w:color w:val="000000"/>
          <w:sz w:val="28"/>
          <w:szCs w:val="28"/>
          <w:shd w:val="clear" w:color="auto" w:fill="FFFFFF"/>
        </w:rPr>
      </w:pPr>
      <w:r w:rsidRPr="003645B3">
        <w:rPr>
          <w:rFonts w:ascii="Times New Roman" w:hAnsi="Times New Roman" w:cs="Times New Roman"/>
          <w:sz w:val="28"/>
          <w:szCs w:val="28"/>
          <w:shd w:val="clear" w:color="auto" w:fill="FFFFFF"/>
        </w:rPr>
        <w:t>Инвестиционные возможности страховщиков на рынке ценных бумаг используются недостаточно, прежде всего в силу слабости самого фондового рынка. Разработка специальных "страховых" ценных бумаг ведется еще со времен августовского кризиса 1998 года и до сих пор не завершена. Западные комплексные финансово-страховые продукты к нашим условиям адаптируются плохо, а отдельные попытки отечественных страховщиков придумать что-то свое - пока единичные и не делают погоды на рынке. Однако необходимость, по примеру западных коллег, лучшего осознания пользы сотрудничества с другими финансовыми рынками и более широкого его применения в практике страхования сомнения не вызывает.</w:t>
      </w:r>
    </w:p>
    <w:p w:rsidR="003645B3" w:rsidRPr="00630552" w:rsidRDefault="003645B3" w:rsidP="00630552">
      <w:pPr>
        <w:spacing w:line="360" w:lineRule="auto"/>
        <w:ind w:firstLine="708"/>
        <w:contextualSpacing/>
        <w:jc w:val="both"/>
        <w:rPr>
          <w:rFonts w:ascii="Times New Roman" w:hAnsi="Times New Roman" w:cs="Times New Roman"/>
          <w:sz w:val="28"/>
          <w:szCs w:val="28"/>
          <w:shd w:val="clear" w:color="auto" w:fill="FFFFFF"/>
        </w:rPr>
      </w:pPr>
      <w:r w:rsidRPr="003645B3">
        <w:rPr>
          <w:rFonts w:ascii="Times New Roman" w:hAnsi="Times New Roman" w:cs="Times New Roman"/>
          <w:sz w:val="28"/>
          <w:szCs w:val="28"/>
        </w:rPr>
        <w:t>Как представители весьма капиталоемкой отрасли, страховщики вынуждены выходить на рынок ценных бумаг и с противоположной стороны - как крупные получатели долевого и долгового привлеченного капитала. Это значит, что они вынуждены становиться эмитентами собственных акций и облигаций.</w:t>
      </w:r>
    </w:p>
    <w:p w:rsidR="003645B3" w:rsidRPr="003645B3" w:rsidRDefault="003645B3" w:rsidP="00630552">
      <w:pPr>
        <w:pStyle w:val="a6"/>
        <w:shd w:val="clear" w:color="auto" w:fill="FFFFFF"/>
        <w:spacing w:line="360" w:lineRule="auto"/>
        <w:ind w:firstLine="709"/>
        <w:contextualSpacing/>
        <w:jc w:val="both"/>
        <w:rPr>
          <w:sz w:val="28"/>
          <w:szCs w:val="28"/>
        </w:rPr>
      </w:pPr>
      <w:r w:rsidRPr="003645B3">
        <w:rPr>
          <w:sz w:val="28"/>
          <w:szCs w:val="28"/>
        </w:rPr>
        <w:t xml:space="preserve">Действуют они в рамках общих требований, и эмиссионная деятельность их мало чем отличается от компаний других отраслей. По </w:t>
      </w:r>
      <w:r w:rsidRPr="003645B3">
        <w:rPr>
          <w:sz w:val="28"/>
          <w:szCs w:val="28"/>
        </w:rPr>
        <w:lastRenderedPageBreak/>
        <w:t>масштабу суммарной эмиссионной деятельности и особенно по обращению ценных бумаг на вторичном рынке страховая отрасль является далеко не чемпионом, значительно отставая от банков или крупных финансово-промышленных корпораций. Однако роль отдельных крупных страховых открытых акционерных обществ оценивается как весьма серьезная. Для России это направление вообще не является актуальным, а например, в США или Германии открытая продажа акций страховых компаний всем желающим - вполне нормальная практика.</w:t>
      </w:r>
    </w:p>
    <w:p w:rsidR="003645B3" w:rsidRPr="00A221FF" w:rsidRDefault="003645B3" w:rsidP="00630552">
      <w:pPr>
        <w:pStyle w:val="a6"/>
        <w:shd w:val="clear" w:color="auto" w:fill="FFFFFF"/>
        <w:spacing w:line="360" w:lineRule="auto"/>
        <w:ind w:firstLine="709"/>
        <w:contextualSpacing/>
        <w:jc w:val="both"/>
        <w:rPr>
          <w:sz w:val="28"/>
          <w:szCs w:val="28"/>
        </w:rPr>
      </w:pPr>
      <w:r w:rsidRPr="003645B3">
        <w:rPr>
          <w:sz w:val="28"/>
          <w:szCs w:val="28"/>
        </w:rPr>
        <w:t>К тому же и здесь в принципе есть место ограничительным действиям органов страхового надзора - могут вводиться специальные пакеты требований к отчетам страховщиков перед своими акционерами, дополнительные разрешительные процедуры при выпуске ценных бумаг и др. В частности, в той же Германии Федеральное ведомство по надзору за страховой деятельностью провозглашает своей задачей защиту интересов не только страхователей, но и владельцев акций страховых компаний: при возникновении спорных ситуаций акционер вправе пожаловаться в надзор, который будет участвовать в процедуре урегулирования спора на стороне акционера, оказывать ему консультативную помощь и т.п.</w:t>
      </w:r>
      <w:r w:rsidR="00A221FF" w:rsidRPr="00A221FF">
        <w:rPr>
          <w:sz w:val="28"/>
          <w:szCs w:val="28"/>
        </w:rPr>
        <w:t>[</w:t>
      </w:r>
      <w:r w:rsidR="00A221FF" w:rsidRPr="00805E48">
        <w:rPr>
          <w:sz w:val="28"/>
          <w:szCs w:val="28"/>
        </w:rPr>
        <w:t>7</w:t>
      </w:r>
      <w:r w:rsidR="00A221FF" w:rsidRPr="00A221FF">
        <w:rPr>
          <w:sz w:val="28"/>
          <w:szCs w:val="28"/>
        </w:rPr>
        <w:t>]</w:t>
      </w:r>
    </w:p>
    <w:p w:rsidR="003645B3" w:rsidRPr="003645B3" w:rsidRDefault="003645B3" w:rsidP="00630552">
      <w:pPr>
        <w:pStyle w:val="a6"/>
        <w:shd w:val="clear" w:color="auto" w:fill="FFFFFF"/>
        <w:spacing w:line="360" w:lineRule="auto"/>
        <w:ind w:firstLine="709"/>
        <w:contextualSpacing/>
        <w:jc w:val="both"/>
        <w:rPr>
          <w:sz w:val="28"/>
          <w:szCs w:val="28"/>
        </w:rPr>
      </w:pPr>
      <w:r w:rsidRPr="003645B3">
        <w:rPr>
          <w:sz w:val="28"/>
          <w:szCs w:val="28"/>
        </w:rPr>
        <w:t xml:space="preserve">Однако сегодня страховщики не ограничиваются традиционным привлечением капитала через фондовый рынок. Теперь эмиссия ценных бумаг может рассматриваться как вариант передачи риска. Речь идет о так называемых облигациях на катастрофы, выпущенных рядом западных перестраховочных обществ. Они представляют собой финансовый инструмент смешанного типа. Покупателю облигации предлагается повышенная доходность (по сравнению с обычными облигациями), но если произойдет оговоренное катастрофическое событие (например, землетрясение или иное крупномасштабное природное бедствие), то он теряет и проценты, и часть вложенной суммы, а иногда и всю ее. Страховщик-эмитент предлагает инвестору-держателю облигации сыграть в своеобразную рулетку; инвестор ставит на то, что землетрясения - это </w:t>
      </w:r>
      <w:r w:rsidRPr="003645B3">
        <w:rPr>
          <w:sz w:val="28"/>
          <w:szCs w:val="28"/>
        </w:rPr>
        <w:lastRenderedPageBreak/>
        <w:t>вообще-то довольно редкие явления, поэтому если повезет, то он может рассчитывать на сверхдоход. К тому же в отличие от обычных портфельных инвестиционных рисков вероятность катастроф абсолютно не зависит от динамики макроэкономического цикла, следовательно, принятие в портфель "катастрофической" ценной бумаги позволяет диверсифицировать вложения и взаимно погасить риски. Страховщик же, наоборот, ставит на то, что. если катастрофа все-таки произойдет, он гарантированно покроет убытки за счет привлеченных таким образом средств (оказывающихся на поверку более дешевыми, чем любые другие способы нейтрализации катастрофического риска - привлечения кредитных ресурсов, перестрахования, отказа от принятия риска и др.) Если же она не произойдет, то страховщик не останется в большом убытке, так как в принципе он скорее всего все равно должен был бы привлекать заемные средства инвесторов, пусть и ненамного более выгодных для него условиях.</w:t>
      </w:r>
    </w:p>
    <w:p w:rsidR="003645B3" w:rsidRPr="00A221FF" w:rsidRDefault="003645B3" w:rsidP="00630552">
      <w:pPr>
        <w:pStyle w:val="a6"/>
        <w:shd w:val="clear" w:color="auto" w:fill="FFFFFF"/>
        <w:spacing w:line="360" w:lineRule="auto"/>
        <w:ind w:firstLine="709"/>
        <w:contextualSpacing/>
        <w:jc w:val="both"/>
        <w:rPr>
          <w:sz w:val="28"/>
          <w:szCs w:val="28"/>
          <w:lang w:val="en-US"/>
        </w:rPr>
      </w:pPr>
      <w:r w:rsidRPr="003645B3">
        <w:rPr>
          <w:sz w:val="28"/>
          <w:szCs w:val="28"/>
        </w:rPr>
        <w:t>В принципе такая деятельность для страховщика не может расцениваться как чисто эмиссионная, так как это уже не просто торговля облигациями, а перераспределение риска за плату, близкое по своей сути скорее к перестрахованию. Такое явление в зарубежной литературе получило название "секьюритизация". На наш взгляд, оно имеет большие перспективы, так как повышает емкость страхового рынка и полноту защиты от катастрофических рисков. При этом сокращается (по сравнению с перестраховочными каналами) число ступеней перераспределения риска и затраты на его организацию, а следовательно, в конечном счете уменьшается стоимость услуг для страхователей. Упоминаний в российской прессе об участии наших страховщиков или инвесторов в подобных проектах пока нет, вероятно, в силу низкой капитализации нашего рынка.</w:t>
      </w:r>
      <w:r w:rsidR="00A221FF" w:rsidRPr="00A221FF">
        <w:rPr>
          <w:sz w:val="28"/>
          <w:szCs w:val="28"/>
        </w:rPr>
        <w:t xml:space="preserve"> </w:t>
      </w:r>
      <w:r w:rsidR="00A221FF">
        <w:rPr>
          <w:sz w:val="28"/>
          <w:szCs w:val="28"/>
          <w:lang w:val="en-US"/>
        </w:rPr>
        <w:t>[9,198]</w:t>
      </w:r>
    </w:p>
    <w:p w:rsidR="003645B3" w:rsidRPr="003645B3" w:rsidRDefault="003645B3" w:rsidP="00630552">
      <w:pPr>
        <w:pStyle w:val="a6"/>
        <w:shd w:val="clear" w:color="auto" w:fill="FFFFFF"/>
        <w:spacing w:line="360" w:lineRule="auto"/>
        <w:ind w:firstLine="709"/>
        <w:contextualSpacing/>
        <w:jc w:val="both"/>
        <w:rPr>
          <w:sz w:val="28"/>
          <w:szCs w:val="28"/>
        </w:rPr>
      </w:pPr>
      <w:r w:rsidRPr="003645B3">
        <w:rPr>
          <w:sz w:val="28"/>
          <w:szCs w:val="28"/>
        </w:rPr>
        <w:t>Страховщики принимают на страхование риски инвесторов либо инвестируемых ими корпораций (эмитентов).</w:t>
      </w:r>
    </w:p>
    <w:p w:rsidR="003645B3" w:rsidRPr="00A221FF" w:rsidRDefault="003645B3" w:rsidP="00630552">
      <w:pPr>
        <w:pStyle w:val="a6"/>
        <w:shd w:val="clear" w:color="auto" w:fill="FFFFFF"/>
        <w:spacing w:line="360" w:lineRule="auto"/>
        <w:ind w:firstLine="709"/>
        <w:contextualSpacing/>
        <w:jc w:val="both"/>
        <w:rPr>
          <w:sz w:val="28"/>
          <w:szCs w:val="28"/>
        </w:rPr>
      </w:pPr>
      <w:r w:rsidRPr="003645B3">
        <w:rPr>
          <w:sz w:val="28"/>
          <w:szCs w:val="28"/>
        </w:rPr>
        <w:t xml:space="preserve">Немаловажным условием привлекательности ценных бумаг является наличие у их эмитента договора страхования с надежным страховщиком. </w:t>
      </w:r>
      <w:r w:rsidRPr="003645B3">
        <w:rPr>
          <w:sz w:val="28"/>
          <w:szCs w:val="28"/>
        </w:rPr>
        <w:lastRenderedPageBreak/>
        <w:t>Простое упоминание о том, что, например, риск какого-то малоизвестного эмитента или организатора инвестиционного проекта застрахован, к примеру, в Ллойде, дает основания полагать, что инвестиции являются надежными (поскольку уважающий себя страховщик, прежде чем выдать полис, произведет детальную проверку проекта, которая не под силу рядовому инвестору).</w:t>
      </w:r>
      <w:r w:rsidR="00A221FF" w:rsidRPr="00A221FF">
        <w:rPr>
          <w:sz w:val="28"/>
          <w:szCs w:val="28"/>
        </w:rPr>
        <w:t>[8, 263]</w:t>
      </w:r>
    </w:p>
    <w:p w:rsidR="003645B3" w:rsidRDefault="003645B3" w:rsidP="00630552">
      <w:pPr>
        <w:pStyle w:val="a6"/>
        <w:shd w:val="clear" w:color="auto" w:fill="FFFFFF"/>
        <w:spacing w:line="360" w:lineRule="auto"/>
        <w:ind w:firstLine="709"/>
        <w:contextualSpacing/>
        <w:jc w:val="both"/>
        <w:rPr>
          <w:sz w:val="28"/>
          <w:szCs w:val="28"/>
        </w:rPr>
      </w:pPr>
      <w:r w:rsidRPr="003645B3">
        <w:rPr>
          <w:sz w:val="28"/>
          <w:szCs w:val="28"/>
        </w:rPr>
        <w:t>В принципе здесь страховщикам отводится роль управления риском в широком смысле этого слова, то есть это не только собственно страхование, но и оценка риска, отказ от страхования объектов с повышенной рискованностью (стимулирующий их владельца устранять риск и проводить снижающие риск мероприятия), превентивная деятельность за счет средств страховых резервов и т.п. Заметим также, что даже по инвестиционным проектам, реализуемым зарубежными инвесторами в России, страхование считается обязательным условием.</w:t>
      </w:r>
    </w:p>
    <w:p w:rsidR="003645B3" w:rsidRDefault="003645B3" w:rsidP="00630552">
      <w:pPr>
        <w:pStyle w:val="a6"/>
        <w:shd w:val="clear" w:color="auto" w:fill="FFFFFF"/>
        <w:spacing w:line="360" w:lineRule="auto"/>
        <w:ind w:firstLine="709"/>
        <w:contextualSpacing/>
        <w:jc w:val="both"/>
        <w:rPr>
          <w:sz w:val="28"/>
          <w:szCs w:val="28"/>
        </w:rPr>
      </w:pPr>
      <w:r>
        <w:rPr>
          <w:sz w:val="28"/>
          <w:szCs w:val="28"/>
        </w:rPr>
        <w:t>По данным годового отчета 2012года  Центрального банка:</w:t>
      </w:r>
      <w:r w:rsidRPr="003645B3">
        <w:t xml:space="preserve"> </w:t>
      </w:r>
      <w:r>
        <w:rPr>
          <w:sz w:val="28"/>
          <w:szCs w:val="28"/>
        </w:rPr>
        <w:t>в</w:t>
      </w:r>
      <w:r w:rsidRPr="003645B3">
        <w:rPr>
          <w:sz w:val="28"/>
          <w:szCs w:val="28"/>
        </w:rPr>
        <w:t>ложения страховых организаций в долговые ценные бумаги в</w:t>
      </w:r>
      <w:r>
        <w:rPr>
          <w:sz w:val="28"/>
          <w:szCs w:val="28"/>
        </w:rPr>
        <w:t xml:space="preserve"> первом полугодии 2012 г. увели</w:t>
      </w:r>
      <w:r w:rsidRPr="003645B3">
        <w:rPr>
          <w:sz w:val="28"/>
          <w:szCs w:val="28"/>
        </w:rPr>
        <w:t>чились на 2,6%</w:t>
      </w:r>
      <w:r>
        <w:rPr>
          <w:sz w:val="28"/>
          <w:szCs w:val="28"/>
        </w:rPr>
        <w:t>. В структуре их портфеля долго</w:t>
      </w:r>
      <w:r w:rsidRPr="003645B3">
        <w:rPr>
          <w:sz w:val="28"/>
          <w:szCs w:val="28"/>
        </w:rPr>
        <w:t>вых ценных бумаг возросли вложения в облигации кредитных ор</w:t>
      </w:r>
      <w:r>
        <w:rPr>
          <w:sz w:val="28"/>
          <w:szCs w:val="28"/>
        </w:rPr>
        <w:t>ганизаций, других финансовых ор</w:t>
      </w:r>
      <w:r w:rsidRPr="003645B3">
        <w:rPr>
          <w:sz w:val="28"/>
          <w:szCs w:val="28"/>
        </w:rPr>
        <w:t>ганизаций и государственные ценные бумаги при уменьшении вложений в долговые ценные бумаги нефинансовых организаций.</w:t>
      </w:r>
      <w:r>
        <w:rPr>
          <w:sz w:val="28"/>
          <w:szCs w:val="28"/>
        </w:rPr>
        <w:t xml:space="preserve"> </w:t>
      </w:r>
    </w:p>
    <w:p w:rsidR="003645B3" w:rsidRPr="00A221FF" w:rsidRDefault="00630552" w:rsidP="00630552">
      <w:pPr>
        <w:pStyle w:val="a6"/>
        <w:shd w:val="clear" w:color="auto" w:fill="FFFFFF"/>
        <w:spacing w:line="360" w:lineRule="auto"/>
        <w:ind w:firstLine="709"/>
        <w:contextualSpacing/>
        <w:jc w:val="both"/>
        <w:rPr>
          <w:sz w:val="28"/>
          <w:szCs w:val="28"/>
          <w:lang w:val="en-US"/>
        </w:rPr>
      </w:pPr>
      <w:r w:rsidRPr="00630552">
        <w:rPr>
          <w:sz w:val="28"/>
          <w:szCs w:val="28"/>
        </w:rPr>
        <w:t>Среди ос</w:t>
      </w:r>
      <w:r>
        <w:rPr>
          <w:sz w:val="28"/>
          <w:szCs w:val="28"/>
        </w:rPr>
        <w:t>новных видов небанковских финан</w:t>
      </w:r>
      <w:r w:rsidRPr="00630552">
        <w:rPr>
          <w:sz w:val="28"/>
          <w:szCs w:val="28"/>
        </w:rPr>
        <w:t>совых институтов положительный пр</w:t>
      </w:r>
      <w:r>
        <w:rPr>
          <w:sz w:val="28"/>
          <w:szCs w:val="28"/>
        </w:rPr>
        <w:t>ирост вло</w:t>
      </w:r>
      <w:r w:rsidRPr="00630552">
        <w:rPr>
          <w:sz w:val="28"/>
          <w:szCs w:val="28"/>
        </w:rPr>
        <w:t xml:space="preserve">жений в акции </w:t>
      </w:r>
      <w:r>
        <w:rPr>
          <w:sz w:val="28"/>
          <w:szCs w:val="28"/>
        </w:rPr>
        <w:t xml:space="preserve">и иные формы участия в капитале </w:t>
      </w:r>
      <w:r w:rsidRPr="00630552">
        <w:rPr>
          <w:sz w:val="28"/>
          <w:szCs w:val="28"/>
        </w:rPr>
        <w:t xml:space="preserve">(7,0% в первом </w:t>
      </w:r>
      <w:r>
        <w:rPr>
          <w:sz w:val="28"/>
          <w:szCs w:val="28"/>
        </w:rPr>
        <w:t xml:space="preserve">полугодии 2012 г.) отмечен только у страховых организаций. </w:t>
      </w:r>
      <w:r w:rsidRPr="00630552">
        <w:rPr>
          <w:sz w:val="28"/>
          <w:szCs w:val="28"/>
        </w:rPr>
        <w:t xml:space="preserve">Этот рост стал возможным благодаря </w:t>
      </w:r>
      <w:r>
        <w:rPr>
          <w:sz w:val="28"/>
          <w:szCs w:val="28"/>
        </w:rPr>
        <w:t>увеличению некоторыми страховщи</w:t>
      </w:r>
      <w:r w:rsidRPr="00630552">
        <w:rPr>
          <w:sz w:val="28"/>
          <w:szCs w:val="28"/>
        </w:rPr>
        <w:t>ками вложений в ценные бумаги аффилированных организаций, а также реализации рядом из них агрессивных инвестиционных стратегий на рынке капитала. Осно</w:t>
      </w:r>
      <w:r>
        <w:rPr>
          <w:sz w:val="28"/>
          <w:szCs w:val="28"/>
        </w:rPr>
        <w:t>вным направлением вложений стра</w:t>
      </w:r>
      <w:r w:rsidRPr="00630552">
        <w:rPr>
          <w:sz w:val="28"/>
          <w:szCs w:val="28"/>
        </w:rPr>
        <w:t>ховщиков в акци</w:t>
      </w:r>
      <w:r>
        <w:rPr>
          <w:sz w:val="28"/>
          <w:szCs w:val="28"/>
        </w:rPr>
        <w:t>и оставались ценные бумаги нефи</w:t>
      </w:r>
      <w:r w:rsidRPr="00630552">
        <w:rPr>
          <w:sz w:val="28"/>
          <w:szCs w:val="28"/>
        </w:rPr>
        <w:t>нансовых органи</w:t>
      </w:r>
      <w:r>
        <w:rPr>
          <w:sz w:val="28"/>
          <w:szCs w:val="28"/>
        </w:rPr>
        <w:t>заций, объем которых за анализи</w:t>
      </w:r>
      <w:r w:rsidRPr="00630552">
        <w:rPr>
          <w:sz w:val="28"/>
          <w:szCs w:val="28"/>
        </w:rPr>
        <w:t>руемый период увеличился на 4,8%</w:t>
      </w:r>
      <w:r>
        <w:rPr>
          <w:sz w:val="28"/>
          <w:szCs w:val="28"/>
        </w:rPr>
        <w:t>.</w:t>
      </w:r>
      <w:r w:rsidR="00A221FF" w:rsidRPr="00A221FF">
        <w:rPr>
          <w:sz w:val="28"/>
          <w:szCs w:val="28"/>
        </w:rPr>
        <w:t xml:space="preserve"> </w:t>
      </w:r>
      <w:r w:rsidR="00A221FF">
        <w:rPr>
          <w:sz w:val="28"/>
          <w:szCs w:val="28"/>
          <w:lang w:val="en-US"/>
        </w:rPr>
        <w:t>[2]</w:t>
      </w:r>
    </w:p>
    <w:p w:rsidR="00933D10" w:rsidRDefault="00933D10" w:rsidP="00630552">
      <w:pPr>
        <w:pStyle w:val="a6"/>
        <w:shd w:val="clear" w:color="auto" w:fill="FFFFFF"/>
        <w:spacing w:line="360" w:lineRule="auto"/>
        <w:ind w:firstLine="708"/>
        <w:jc w:val="both"/>
        <w:rPr>
          <w:sz w:val="28"/>
          <w:szCs w:val="28"/>
        </w:rPr>
      </w:pPr>
    </w:p>
    <w:p w:rsidR="00933D10" w:rsidRPr="00902427" w:rsidRDefault="00933D10" w:rsidP="00933D10">
      <w:pPr>
        <w:spacing w:line="360" w:lineRule="auto"/>
        <w:rPr>
          <w:rFonts w:ascii="Times New Roman" w:hAnsi="Times New Roman" w:cs="Times New Roman"/>
          <w:sz w:val="28"/>
          <w:szCs w:val="28"/>
        </w:rPr>
      </w:pPr>
      <w:r w:rsidRPr="00902427">
        <w:rPr>
          <w:rFonts w:ascii="Times New Roman" w:hAnsi="Times New Roman" w:cs="Times New Roman"/>
          <w:sz w:val="28"/>
          <w:szCs w:val="28"/>
        </w:rPr>
        <w:lastRenderedPageBreak/>
        <w:t>2.  На примере любой управляющей компании покажите основные стратегии инвестирования (на примере различных фондов).</w:t>
      </w:r>
    </w:p>
    <w:p w:rsidR="00933D10" w:rsidRPr="00902427" w:rsidRDefault="00933D10" w:rsidP="00933D10">
      <w:pPr>
        <w:spacing w:line="360" w:lineRule="auto"/>
        <w:jc w:val="both"/>
        <w:rPr>
          <w:rFonts w:ascii="Times New Roman" w:hAnsi="Times New Roman" w:cs="Times New Roman"/>
          <w:sz w:val="28"/>
          <w:szCs w:val="28"/>
        </w:rPr>
      </w:pPr>
      <w:r w:rsidRPr="00902427">
        <w:rPr>
          <w:rFonts w:ascii="Times New Roman" w:hAnsi="Times New Roman" w:cs="Times New Roman"/>
          <w:sz w:val="28"/>
          <w:szCs w:val="28"/>
        </w:rPr>
        <w:tab/>
        <w:t>Стратегии инвестирования представляют собой комплекс методов и набор инструментов осуществления управления инвестиционным портфелем. Целью их использования является увеличение капиталов инвестора.</w:t>
      </w:r>
    </w:p>
    <w:p w:rsidR="00933D10" w:rsidRPr="00902427" w:rsidRDefault="00933D10" w:rsidP="00933D10">
      <w:pPr>
        <w:spacing w:line="360" w:lineRule="auto"/>
        <w:ind w:firstLine="708"/>
        <w:jc w:val="both"/>
        <w:rPr>
          <w:rFonts w:ascii="Times New Roman" w:hAnsi="Times New Roman" w:cs="Times New Roman"/>
          <w:sz w:val="28"/>
          <w:szCs w:val="28"/>
          <w:bdr w:val="none" w:sz="0" w:space="0" w:color="auto" w:frame="1"/>
        </w:rPr>
      </w:pPr>
      <w:r w:rsidRPr="00902427">
        <w:rPr>
          <w:rFonts w:ascii="Times New Roman" w:hAnsi="Times New Roman" w:cs="Times New Roman"/>
          <w:sz w:val="28"/>
          <w:szCs w:val="28"/>
        </w:rPr>
        <w:t>Рассмотрим стратегии инвестирования на примере управляющей компании«Ингосстрах-инвестиции».</w:t>
      </w:r>
      <w:r w:rsidRPr="00902427">
        <w:rPr>
          <w:rFonts w:ascii="Times New Roman" w:hAnsi="Times New Roman" w:cs="Times New Roman"/>
          <w:sz w:val="28"/>
          <w:szCs w:val="28"/>
        </w:rPr>
        <w:br/>
        <w:t xml:space="preserve"> </w:t>
      </w:r>
      <w:r w:rsidRPr="00902427">
        <w:rPr>
          <w:rFonts w:ascii="Times New Roman" w:hAnsi="Times New Roman" w:cs="Times New Roman"/>
          <w:sz w:val="28"/>
          <w:szCs w:val="28"/>
        </w:rPr>
        <w:tab/>
      </w:r>
      <w:r w:rsidRPr="00902427">
        <w:rPr>
          <w:rFonts w:ascii="Times New Roman" w:hAnsi="Times New Roman" w:cs="Times New Roman"/>
          <w:sz w:val="28"/>
          <w:szCs w:val="28"/>
          <w:shd w:val="clear" w:color="auto" w:fill="FFFFFF"/>
        </w:rPr>
        <w:t xml:space="preserve">Открытое акционерное общество (ОАО) Управляющая компания «Ингосстрах - Инвестиции» основана в 1997 году. Компания оказывает полный комплекс услуг по управлению активами частных и корпоративных инвесторов. </w:t>
      </w:r>
      <w:r w:rsidRPr="00902427">
        <w:rPr>
          <w:rFonts w:ascii="Times New Roman" w:hAnsi="Times New Roman" w:cs="Times New Roman"/>
          <w:sz w:val="28"/>
          <w:szCs w:val="28"/>
          <w:bdr w:val="none" w:sz="0" w:space="0" w:color="auto" w:frame="1"/>
        </w:rPr>
        <w:t>Лицензия на осуществление деятельности по управлению инвестиционными фондами, паевыми инвестиционными фондами и негосударственными пенсионными фондами № 21-000-1-00020. Выдана ФСФР России  25.08.1997 г. (без ограничения срока действия).</w:t>
      </w:r>
    </w:p>
    <w:p w:rsidR="00933D10" w:rsidRPr="00902427" w:rsidRDefault="00933D10" w:rsidP="00933D10">
      <w:pPr>
        <w:spacing w:line="360" w:lineRule="auto"/>
        <w:ind w:firstLine="708"/>
        <w:jc w:val="both"/>
        <w:rPr>
          <w:rFonts w:ascii="Times New Roman" w:hAnsi="Times New Roman" w:cs="Times New Roman"/>
          <w:sz w:val="28"/>
          <w:szCs w:val="28"/>
          <w:bdr w:val="none" w:sz="0" w:space="0" w:color="auto" w:frame="1"/>
        </w:rPr>
      </w:pPr>
      <w:r w:rsidRPr="00902427">
        <w:rPr>
          <w:rFonts w:ascii="Times New Roman" w:hAnsi="Times New Roman" w:cs="Times New Roman"/>
          <w:sz w:val="28"/>
          <w:szCs w:val="28"/>
          <w:bdr w:val="none" w:sz="0" w:space="0" w:color="auto" w:frame="1"/>
        </w:rPr>
        <w:t xml:space="preserve">Компания работает с открытыми и интервальными паевыми инвестиционными фондами. </w:t>
      </w:r>
    </w:p>
    <w:p w:rsidR="00933D10" w:rsidRPr="00902427" w:rsidRDefault="00933D10" w:rsidP="00933D10">
      <w:pPr>
        <w:spacing w:line="360" w:lineRule="auto"/>
        <w:ind w:firstLine="708"/>
        <w:jc w:val="both"/>
        <w:rPr>
          <w:rFonts w:ascii="Times New Roman" w:hAnsi="Times New Roman" w:cs="Times New Roman"/>
          <w:sz w:val="28"/>
          <w:szCs w:val="28"/>
          <w:bdr w:val="none" w:sz="0" w:space="0" w:color="auto" w:frame="1"/>
        </w:rPr>
      </w:pPr>
      <w:r w:rsidRPr="00902427">
        <w:rPr>
          <w:rFonts w:ascii="Times New Roman" w:hAnsi="Times New Roman" w:cs="Times New Roman"/>
          <w:sz w:val="28"/>
          <w:szCs w:val="28"/>
          <w:bdr w:val="none" w:sz="0" w:space="0" w:color="auto" w:frame="1"/>
        </w:rPr>
        <w:t>Просмотрим стратегии инвестирования в  открытых фондах.</w:t>
      </w:r>
    </w:p>
    <w:p w:rsidR="00933D10" w:rsidRPr="00A221FF" w:rsidRDefault="00933D10" w:rsidP="00933D10">
      <w:pPr>
        <w:spacing w:line="360" w:lineRule="auto"/>
        <w:ind w:firstLine="708"/>
        <w:jc w:val="both"/>
        <w:rPr>
          <w:rFonts w:ascii="Times New Roman" w:hAnsi="Times New Roman" w:cs="Times New Roman"/>
          <w:sz w:val="28"/>
          <w:szCs w:val="28"/>
          <w:lang w:val="en-US"/>
        </w:rPr>
      </w:pPr>
      <w:r w:rsidRPr="00902427">
        <w:rPr>
          <w:rFonts w:ascii="Times New Roman" w:hAnsi="Times New Roman" w:cs="Times New Roman"/>
          <w:sz w:val="28"/>
          <w:szCs w:val="28"/>
          <w:bdr w:val="none" w:sz="0" w:space="0" w:color="auto" w:frame="1"/>
        </w:rPr>
        <w:t xml:space="preserve">Ингосстрах пенсионный фонд. </w:t>
      </w:r>
      <w:r w:rsidRPr="00902427">
        <w:rPr>
          <w:rFonts w:ascii="Times New Roman" w:hAnsi="Times New Roman" w:cs="Times New Roman"/>
          <w:sz w:val="28"/>
          <w:szCs w:val="28"/>
        </w:rPr>
        <w:t xml:space="preserve">Консервативный смешанный фонд, в котором управление нацелено на минимизацию рисков в сочетании с интересным уровнем доходности. Ценные бумаги проходят очень жесткий отбор по ликвидности и качеству эмитентов. В состав портфеля входят акции — «голубые фишки» — и облигации крупнейших российских эмитентов, а также государственные и муниципальные ценные бумаги. Портфель на две трети состоит из инструментов с фиксированной доходностью и на одну треть из акций. Имеется стратегия «Пенсионные накопления». </w:t>
      </w:r>
      <w:r w:rsidR="00A221FF">
        <w:rPr>
          <w:rFonts w:ascii="Times New Roman" w:hAnsi="Times New Roman" w:cs="Times New Roman"/>
          <w:sz w:val="28"/>
          <w:szCs w:val="28"/>
          <w:lang w:val="en-US"/>
        </w:rPr>
        <w:t>[3]</w:t>
      </w:r>
    </w:p>
    <w:p w:rsidR="00933D10" w:rsidRPr="00902427" w:rsidRDefault="00933D10" w:rsidP="00933D10">
      <w:pPr>
        <w:spacing w:line="360" w:lineRule="auto"/>
        <w:ind w:firstLine="708"/>
        <w:jc w:val="both"/>
        <w:rPr>
          <w:rFonts w:ascii="Times New Roman" w:hAnsi="Times New Roman" w:cs="Times New Roman"/>
          <w:sz w:val="28"/>
          <w:szCs w:val="28"/>
          <w:shd w:val="clear" w:color="auto" w:fill="FFFFFF"/>
        </w:rPr>
      </w:pPr>
      <w:r w:rsidRPr="00902427">
        <w:rPr>
          <w:rFonts w:ascii="Times New Roman" w:hAnsi="Times New Roman" w:cs="Times New Roman"/>
          <w:sz w:val="28"/>
          <w:szCs w:val="28"/>
          <w:shd w:val="clear" w:color="auto" w:fill="FFFFFF"/>
        </w:rPr>
        <w:t xml:space="preserve">Стратегия предназначена для институциональных инвесторов — пенсионных фондов для инвестирования средств пенсионных накоплений. </w:t>
      </w:r>
      <w:r w:rsidRPr="00902427">
        <w:rPr>
          <w:rFonts w:ascii="Times New Roman" w:hAnsi="Times New Roman" w:cs="Times New Roman"/>
          <w:sz w:val="28"/>
          <w:szCs w:val="28"/>
          <w:shd w:val="clear" w:color="auto" w:fill="FFFFFF"/>
        </w:rPr>
        <w:lastRenderedPageBreak/>
        <w:t>Стратегия может иметь различные уровни агрессивности  - от консервативной до сбалансированной в зависимости от доли акций в портфеле. Стратегия ориентирована на получение доходности, превышающей уровень доходности банковских депозитов и/или инфляции при умеренных уровнях риска. Ожидаемая доходность: 12-15%</w:t>
      </w:r>
      <w:r w:rsidRPr="00902427">
        <w:rPr>
          <w:rFonts w:ascii="Times New Roman" w:hAnsi="Times New Roman" w:cs="Times New Roman"/>
          <w:sz w:val="28"/>
          <w:szCs w:val="28"/>
          <w:shd w:val="clear" w:color="auto" w:fill="FFFFFF"/>
        </w:rPr>
        <w:br/>
        <w:t xml:space="preserve">Бенчмарк портфеля является композитный индекс, составляемый из индекса акций ММВБ и индекса облигаций ММВБ в соответствии с выбранными долями акций/облигаций при выборе уровня агрессивности стратегии. </w:t>
      </w:r>
    </w:p>
    <w:p w:rsidR="00933D10" w:rsidRPr="00902427" w:rsidRDefault="00933D10" w:rsidP="00933D10">
      <w:pPr>
        <w:spacing w:line="360" w:lineRule="auto"/>
        <w:ind w:firstLine="708"/>
        <w:jc w:val="both"/>
        <w:rPr>
          <w:rFonts w:ascii="Times New Roman" w:hAnsi="Times New Roman" w:cs="Times New Roman"/>
          <w:sz w:val="28"/>
          <w:szCs w:val="28"/>
        </w:rPr>
      </w:pPr>
      <w:r w:rsidRPr="00902427">
        <w:rPr>
          <w:rFonts w:ascii="Times New Roman" w:hAnsi="Times New Roman" w:cs="Times New Roman"/>
          <w:sz w:val="28"/>
          <w:szCs w:val="28"/>
          <w:shd w:val="clear" w:color="auto" w:fill="FFFFFF"/>
        </w:rPr>
        <w:t>Портфель состоит из консервативной (60-100%) и агрессивной (0-40%) частей. Консервативная часть формируется из облигаций эмитентов 1-2 эшелонов, обладающих хорошим кредитным качеством, со сроком до погашения от 0.5 до 1.5 лет и банковских депозитов надежных банков. Облигации покупаются «до погашения» или оферты. Агрессивная часть формируется из высоколиквидных акций («голубых фишек») крупнейших компаний страны. По этой части предусматривается активное управление (в том числе выполнение стоп-лоссов по заранее определенным уровням в случае неблагоприятного развития рыночной ситуации).</w:t>
      </w:r>
    </w:p>
    <w:p w:rsidR="00933D10" w:rsidRPr="00902427" w:rsidRDefault="00933D10" w:rsidP="00933D10">
      <w:pPr>
        <w:spacing w:line="360" w:lineRule="auto"/>
        <w:ind w:firstLine="708"/>
        <w:jc w:val="both"/>
        <w:rPr>
          <w:rFonts w:ascii="Times New Roman" w:hAnsi="Times New Roman" w:cs="Times New Roman"/>
          <w:sz w:val="28"/>
          <w:szCs w:val="28"/>
          <w:shd w:val="clear" w:color="auto" w:fill="FFFFFF"/>
        </w:rPr>
      </w:pPr>
      <w:r w:rsidRPr="00902427">
        <w:rPr>
          <w:rStyle w:val="apple-converted-space"/>
          <w:rFonts w:ascii="Times New Roman" w:hAnsi="Times New Roman" w:cs="Times New Roman"/>
          <w:sz w:val="28"/>
          <w:szCs w:val="28"/>
          <w:shd w:val="clear" w:color="auto" w:fill="FFFFFF"/>
        </w:rPr>
        <w:t> </w:t>
      </w:r>
      <w:r w:rsidRPr="00902427">
        <w:rPr>
          <w:rFonts w:ascii="Times New Roman" w:hAnsi="Times New Roman" w:cs="Times New Roman"/>
          <w:sz w:val="28"/>
          <w:szCs w:val="28"/>
          <w:shd w:val="clear" w:color="auto" w:fill="FFFFFF"/>
        </w:rPr>
        <w:t>Для достижения сохранности и прироста, пенсионные накопления инвестируются в инструменты с фиксированной доходностью. Включение небольшой доли акций призвано повысить ожидаемый доход.</w:t>
      </w:r>
      <w:r w:rsidRPr="00902427">
        <w:rPr>
          <w:rFonts w:ascii="Times New Roman" w:hAnsi="Times New Roman" w:cs="Times New Roman"/>
          <w:sz w:val="28"/>
          <w:szCs w:val="28"/>
        </w:rPr>
        <w:br/>
      </w:r>
      <w:r w:rsidRPr="00902427">
        <w:rPr>
          <w:rFonts w:ascii="Times New Roman" w:hAnsi="Times New Roman" w:cs="Times New Roman"/>
          <w:sz w:val="28"/>
          <w:szCs w:val="28"/>
          <w:shd w:val="clear" w:color="auto" w:fill="FFFFFF"/>
        </w:rPr>
        <w:t>Уровень рисков по данной стратегии предполагается низким.</w:t>
      </w:r>
    </w:p>
    <w:p w:rsidR="00933D10" w:rsidRPr="00902427" w:rsidRDefault="00933D10" w:rsidP="00933D10">
      <w:pPr>
        <w:spacing w:line="360" w:lineRule="auto"/>
        <w:ind w:firstLine="708"/>
        <w:jc w:val="both"/>
        <w:rPr>
          <w:rFonts w:ascii="Times New Roman" w:hAnsi="Times New Roman" w:cs="Times New Roman"/>
          <w:sz w:val="28"/>
          <w:szCs w:val="28"/>
        </w:rPr>
      </w:pPr>
      <w:r w:rsidRPr="00902427">
        <w:rPr>
          <w:rFonts w:ascii="Times New Roman" w:hAnsi="Times New Roman" w:cs="Times New Roman"/>
          <w:sz w:val="28"/>
          <w:szCs w:val="28"/>
          <w:shd w:val="clear" w:color="auto" w:fill="FFFFFF"/>
        </w:rPr>
        <w:t>Ингосстрах сбалансированный.</w:t>
      </w:r>
      <w:r w:rsidRPr="00902427">
        <w:rPr>
          <w:rFonts w:ascii="Times New Roman" w:hAnsi="Times New Roman" w:cs="Times New Roman"/>
          <w:sz w:val="28"/>
          <w:szCs w:val="28"/>
        </w:rPr>
        <w:t xml:space="preserve"> Сбалансированный портфель фонда состоит наполовину из акций, наполовину из облигаций, в тоже время есть возможность в определенных ситуациях на рынке в целях уменьшения рисков или увеличения потенциала доходности увеличивать долю одних и уменьшать долю других. Разумное сочетание риска и доходности.</w:t>
      </w:r>
    </w:p>
    <w:p w:rsidR="00933D10" w:rsidRPr="00902427" w:rsidRDefault="00933D10" w:rsidP="00933D10">
      <w:pPr>
        <w:spacing w:line="360" w:lineRule="auto"/>
        <w:ind w:firstLine="708"/>
        <w:jc w:val="both"/>
        <w:rPr>
          <w:rFonts w:ascii="Times New Roman" w:hAnsi="Times New Roman" w:cs="Times New Roman"/>
          <w:sz w:val="28"/>
          <w:szCs w:val="28"/>
        </w:rPr>
      </w:pPr>
      <w:r w:rsidRPr="00902427">
        <w:rPr>
          <w:rFonts w:ascii="Times New Roman" w:hAnsi="Times New Roman" w:cs="Times New Roman"/>
          <w:sz w:val="28"/>
          <w:szCs w:val="28"/>
        </w:rPr>
        <w:t>Стратегии: сбалансированная агрессивная и сбалансированная кончервативная.</w:t>
      </w:r>
    </w:p>
    <w:p w:rsidR="00933D10" w:rsidRPr="00902427" w:rsidRDefault="00933D10" w:rsidP="00933D10">
      <w:pPr>
        <w:spacing w:line="360" w:lineRule="auto"/>
        <w:ind w:firstLine="708"/>
        <w:jc w:val="both"/>
        <w:rPr>
          <w:rFonts w:ascii="Times New Roman" w:hAnsi="Times New Roman" w:cs="Times New Roman"/>
          <w:sz w:val="28"/>
          <w:szCs w:val="28"/>
          <w:shd w:val="clear" w:color="auto" w:fill="FFFFFF"/>
        </w:rPr>
      </w:pPr>
      <w:r w:rsidRPr="00902427">
        <w:rPr>
          <w:rFonts w:ascii="Times New Roman" w:hAnsi="Times New Roman" w:cs="Times New Roman"/>
          <w:sz w:val="28"/>
          <w:szCs w:val="28"/>
        </w:rPr>
        <w:lastRenderedPageBreak/>
        <w:t xml:space="preserve">Сбалансированная агрессивная стратегия </w:t>
      </w:r>
      <w:r w:rsidRPr="00902427">
        <w:rPr>
          <w:rFonts w:ascii="Times New Roman" w:hAnsi="Times New Roman" w:cs="Times New Roman"/>
          <w:sz w:val="28"/>
          <w:szCs w:val="28"/>
          <w:shd w:val="clear" w:color="auto" w:fill="FFFFFF"/>
        </w:rPr>
        <w:t xml:space="preserve"> предназначена для инвесторов, желающих получить доход выше альтернативной ставки депозита, но при этом избежать чрезмерной волатильности своего инвестиционного портфеля. Ожидаемая доходность: 15-25%</w:t>
      </w:r>
      <w:r w:rsidRPr="00902427">
        <w:rPr>
          <w:rFonts w:ascii="Times New Roman" w:hAnsi="Times New Roman" w:cs="Times New Roman"/>
          <w:sz w:val="28"/>
          <w:szCs w:val="28"/>
        </w:rPr>
        <w:br/>
      </w:r>
      <w:r w:rsidRPr="00902427">
        <w:rPr>
          <w:rFonts w:ascii="Times New Roman" w:hAnsi="Times New Roman" w:cs="Times New Roman"/>
          <w:sz w:val="28"/>
          <w:szCs w:val="28"/>
          <w:shd w:val="clear" w:color="auto" w:fill="FFFFFF"/>
        </w:rPr>
        <w:t>Бенчмарк портфеля — 30% индекс облигаций ММВБ и 70% индекс ММВБ. Сбалансированная агрессивная предполагает средний уровень риска (рыночный, кредитный и риск ликвидности) .</w:t>
      </w:r>
    </w:p>
    <w:p w:rsidR="00933D10" w:rsidRPr="00902427" w:rsidRDefault="00933D10" w:rsidP="00933D10">
      <w:pPr>
        <w:spacing w:line="360" w:lineRule="auto"/>
        <w:ind w:firstLine="708"/>
        <w:jc w:val="both"/>
        <w:rPr>
          <w:rFonts w:ascii="Times New Roman" w:hAnsi="Times New Roman" w:cs="Times New Roman"/>
          <w:sz w:val="28"/>
          <w:szCs w:val="28"/>
        </w:rPr>
      </w:pPr>
      <w:r w:rsidRPr="00902427">
        <w:rPr>
          <w:rFonts w:ascii="Times New Roman" w:hAnsi="Times New Roman" w:cs="Times New Roman"/>
          <w:sz w:val="28"/>
          <w:szCs w:val="28"/>
          <w:shd w:val="clear" w:color="auto" w:fill="FFFFFF"/>
        </w:rPr>
        <w:t>Сбалансированная консервативная предназначена  для консервативных инвесторов, желающих сохранить денежные средства, избежать сильной волатильности своего инвестиционного портфеля и получить доходность превышающую ставку депозита. Ожидаемая доходность: 20-25%</w:t>
      </w:r>
      <w:r w:rsidRPr="00902427">
        <w:rPr>
          <w:rFonts w:ascii="Times New Roman" w:hAnsi="Times New Roman" w:cs="Times New Roman"/>
          <w:sz w:val="28"/>
          <w:szCs w:val="28"/>
          <w:shd w:val="clear" w:color="auto" w:fill="FFFFFF"/>
        </w:rPr>
        <w:br/>
        <w:t>Бенчмарк портфеля — 70% индекс облигаций ММВБ и 30% индекс ММВБ.</w:t>
      </w:r>
      <w:r w:rsidRPr="00902427">
        <w:rPr>
          <w:rFonts w:ascii="Times New Roman" w:hAnsi="Times New Roman" w:cs="Times New Roman"/>
          <w:sz w:val="28"/>
          <w:szCs w:val="28"/>
          <w:shd w:val="clear" w:color="auto" w:fill="FFFFFF"/>
        </w:rPr>
        <w:br/>
        <w:t>Портфель допускает активные спекулятивные операции с ценными бумагами. Для этого он разделяется на инвестиционную часть и торговую часть. Инвестиционная часть формируется из акций с высоким потенциалом роста, который определяется на основе фундаментального анализа при достаточном уровне ликвидности, и надёжных облигаций. Торговая часть формируется из акций первого и второго эшелонов, а также облигаций, имеющих потенциал роста цены. Сбалансированная консервативная предполагает умеренный уровень риска.</w:t>
      </w:r>
    </w:p>
    <w:p w:rsidR="00933D10" w:rsidRPr="00902427" w:rsidRDefault="00933D10" w:rsidP="00933D10">
      <w:pPr>
        <w:spacing w:line="360" w:lineRule="auto"/>
        <w:rPr>
          <w:rFonts w:ascii="Times New Roman" w:hAnsi="Times New Roman" w:cs="Times New Roman"/>
          <w:sz w:val="28"/>
          <w:szCs w:val="28"/>
        </w:rPr>
      </w:pPr>
      <w:r w:rsidRPr="00902427">
        <w:rPr>
          <w:rFonts w:ascii="Times New Roman" w:hAnsi="Times New Roman" w:cs="Times New Roman"/>
          <w:sz w:val="28"/>
          <w:szCs w:val="28"/>
        </w:rPr>
        <w:tab/>
        <w:t>К интервальному паевому инвестиционному фонду относится Ингосстрах акции роста.</w:t>
      </w:r>
    </w:p>
    <w:p w:rsidR="00933D10" w:rsidRPr="00A221FF" w:rsidRDefault="00933D10" w:rsidP="00933D10">
      <w:pPr>
        <w:spacing w:line="360" w:lineRule="auto"/>
        <w:jc w:val="both"/>
        <w:rPr>
          <w:rFonts w:ascii="Times New Roman" w:hAnsi="Times New Roman" w:cs="Times New Roman"/>
          <w:sz w:val="28"/>
          <w:szCs w:val="28"/>
          <w:shd w:val="clear" w:color="auto" w:fill="FFFFFF"/>
          <w:lang w:val="en-US"/>
        </w:rPr>
      </w:pPr>
      <w:r w:rsidRPr="00902427">
        <w:rPr>
          <w:rFonts w:ascii="Times New Roman" w:hAnsi="Times New Roman" w:cs="Times New Roman"/>
          <w:sz w:val="28"/>
          <w:szCs w:val="28"/>
        </w:rPr>
        <w:tab/>
        <w:t xml:space="preserve">Агрессивная стратегия - </w:t>
      </w:r>
      <w:r w:rsidRPr="00902427">
        <w:rPr>
          <w:rFonts w:ascii="Times New Roman" w:hAnsi="Times New Roman" w:cs="Times New Roman"/>
          <w:sz w:val="28"/>
          <w:szCs w:val="28"/>
          <w:shd w:val="clear" w:color="auto" w:fill="FFFFFF"/>
        </w:rPr>
        <w:t>стратегия ориентирована на максимизацию дохода и предназначена для инвесторов, которые хотят получать доход существенно выше альтернативной ставки и готовы принимать риски высокой волатильности рынка акций. Ожидаемая доходность: 30-40%</w:t>
      </w:r>
      <w:r w:rsidRPr="00902427">
        <w:rPr>
          <w:rFonts w:ascii="Times New Roman" w:hAnsi="Times New Roman" w:cs="Times New Roman"/>
          <w:sz w:val="28"/>
          <w:szCs w:val="28"/>
        </w:rPr>
        <w:br/>
      </w:r>
      <w:r w:rsidRPr="00902427">
        <w:rPr>
          <w:rFonts w:ascii="Times New Roman" w:hAnsi="Times New Roman" w:cs="Times New Roman"/>
          <w:sz w:val="28"/>
          <w:szCs w:val="28"/>
          <w:shd w:val="clear" w:color="auto" w:fill="FFFFFF"/>
        </w:rPr>
        <w:t xml:space="preserve">Бенчмарком портфеля является индекс ММВБ. Портфель допускает активные спекулятивные операции. Для этого разделяется на инвестиционную часть и торговую часть. Инвестиционная часть </w:t>
      </w:r>
      <w:r w:rsidRPr="00902427">
        <w:rPr>
          <w:rFonts w:ascii="Times New Roman" w:hAnsi="Times New Roman" w:cs="Times New Roman"/>
          <w:sz w:val="28"/>
          <w:szCs w:val="28"/>
          <w:shd w:val="clear" w:color="auto" w:fill="FFFFFF"/>
        </w:rPr>
        <w:lastRenderedPageBreak/>
        <w:t>формируется из акций с высоким потенциалом роста, который определяется на основе фундаментального анализа при достаточном уровне ликвидности. Торговая часть формируется из акций первого и второго эшелонов на основе технического анализа и иных торговых идей.</w:t>
      </w:r>
      <w:r w:rsidRPr="00902427">
        <w:rPr>
          <w:rFonts w:ascii="Times New Roman" w:hAnsi="Times New Roman" w:cs="Times New Roman"/>
          <w:sz w:val="28"/>
          <w:szCs w:val="28"/>
        </w:rPr>
        <w:t xml:space="preserve"> </w:t>
      </w:r>
      <w:r w:rsidRPr="00902427">
        <w:rPr>
          <w:rFonts w:ascii="Times New Roman" w:hAnsi="Times New Roman" w:cs="Times New Roman"/>
          <w:sz w:val="28"/>
          <w:szCs w:val="28"/>
          <w:shd w:val="clear" w:color="auto" w:fill="FFFFFF"/>
        </w:rPr>
        <w:t xml:space="preserve">Агрессивная стратегия предполагает высокий уровень риска (рыночный риск и риск ликвидности). </w:t>
      </w:r>
      <w:r w:rsidR="00A221FF">
        <w:rPr>
          <w:rFonts w:ascii="Times New Roman" w:hAnsi="Times New Roman" w:cs="Times New Roman"/>
          <w:sz w:val="28"/>
          <w:szCs w:val="28"/>
          <w:shd w:val="clear" w:color="auto" w:fill="FFFFFF"/>
          <w:lang w:val="en-US"/>
        </w:rPr>
        <w:t>[4]</w:t>
      </w: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630552">
      <w:pPr>
        <w:pStyle w:val="a6"/>
        <w:shd w:val="clear" w:color="auto" w:fill="FFFFFF"/>
        <w:spacing w:line="360" w:lineRule="auto"/>
        <w:ind w:firstLine="708"/>
        <w:jc w:val="both"/>
        <w:rPr>
          <w:sz w:val="28"/>
          <w:szCs w:val="28"/>
        </w:rPr>
      </w:pPr>
    </w:p>
    <w:p w:rsidR="00933D10" w:rsidRDefault="00933D10" w:rsidP="00933D10">
      <w:pPr>
        <w:pStyle w:val="a6"/>
        <w:shd w:val="clear" w:color="auto" w:fill="FFFFFF"/>
        <w:spacing w:line="360" w:lineRule="auto"/>
        <w:jc w:val="both"/>
        <w:rPr>
          <w:sz w:val="28"/>
          <w:szCs w:val="28"/>
        </w:rPr>
      </w:pPr>
    </w:p>
    <w:p w:rsidR="00933D10" w:rsidRPr="003645B3" w:rsidRDefault="00933D10" w:rsidP="00933D10">
      <w:pPr>
        <w:pStyle w:val="a6"/>
        <w:shd w:val="clear" w:color="auto" w:fill="FFFFFF"/>
        <w:spacing w:line="360" w:lineRule="auto"/>
        <w:jc w:val="both"/>
        <w:rPr>
          <w:sz w:val="28"/>
          <w:szCs w:val="28"/>
        </w:rPr>
      </w:pPr>
    </w:p>
    <w:p w:rsidR="003645B3" w:rsidRDefault="00B024D8" w:rsidP="00630552">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B024D8" w:rsidRDefault="00B024D8" w:rsidP="00B024D8">
      <w:pPr>
        <w:spacing w:line="360" w:lineRule="auto"/>
        <w:ind w:firstLine="708"/>
        <w:contextualSpacing/>
        <w:jc w:val="both"/>
        <w:rPr>
          <w:rFonts w:ascii="Times New Roman" w:hAnsi="Times New Roman" w:cs="Times New Roman"/>
          <w:color w:val="000000"/>
          <w:sz w:val="28"/>
          <w:szCs w:val="28"/>
        </w:rPr>
      </w:pPr>
      <w:r w:rsidRPr="00B024D8">
        <w:rPr>
          <w:rFonts w:ascii="Times New Roman" w:hAnsi="Times New Roman" w:cs="Times New Roman"/>
          <w:color w:val="000000"/>
          <w:sz w:val="28"/>
          <w:szCs w:val="28"/>
          <w:shd w:val="clear" w:color="auto" w:fill="FFFFFF"/>
        </w:rPr>
        <w:t>Страховщики обязаны создавать из полученных взносов резервы по личному и имущественному страхованию, страхованию ответственности. Страховые резервы не подлежат изъятию в федеральный бюджет. Размещение страховых резервов должно осуществятся страховщиками на принципах диверсификации, возвратности, прибыльности и ликвидности. Аналогичные принципы применяются при разме</w:t>
      </w:r>
      <w:r>
        <w:rPr>
          <w:rFonts w:ascii="Times New Roman" w:hAnsi="Times New Roman" w:cs="Times New Roman"/>
          <w:color w:val="000000"/>
          <w:sz w:val="28"/>
          <w:szCs w:val="28"/>
          <w:shd w:val="clear" w:color="auto" w:fill="FFFFFF"/>
        </w:rPr>
        <w:t xml:space="preserve">щении активов </w:t>
      </w:r>
      <w:r w:rsidRPr="00B024D8">
        <w:rPr>
          <w:rFonts w:ascii="Times New Roman" w:hAnsi="Times New Roman" w:cs="Times New Roman"/>
          <w:color w:val="000000"/>
          <w:sz w:val="28"/>
          <w:szCs w:val="28"/>
          <w:shd w:val="clear" w:color="auto" w:fill="FFFFFF"/>
        </w:rPr>
        <w:t>пенсионных фондов.</w:t>
      </w:r>
    </w:p>
    <w:p w:rsidR="00B024D8" w:rsidRDefault="00B024D8" w:rsidP="00B024D8">
      <w:pPr>
        <w:spacing w:line="360" w:lineRule="auto"/>
        <w:ind w:firstLine="708"/>
        <w:contextualSpacing/>
        <w:jc w:val="both"/>
        <w:rPr>
          <w:rFonts w:ascii="Times New Roman" w:hAnsi="Times New Roman" w:cs="Times New Roman"/>
          <w:color w:val="000000"/>
          <w:sz w:val="28"/>
          <w:szCs w:val="28"/>
        </w:rPr>
      </w:pPr>
      <w:r w:rsidRPr="00B024D8">
        <w:rPr>
          <w:rFonts w:ascii="Times New Roman" w:hAnsi="Times New Roman" w:cs="Times New Roman"/>
          <w:color w:val="000000"/>
          <w:sz w:val="28"/>
          <w:szCs w:val="28"/>
          <w:shd w:val="clear" w:color="auto" w:fill="FFFFFF"/>
        </w:rPr>
        <w:t>Источниками образования имущества фонда являются вклады учредителей, целевые взносы вкладч</w:t>
      </w:r>
      <w:r>
        <w:rPr>
          <w:rFonts w:ascii="Times New Roman" w:hAnsi="Times New Roman" w:cs="Times New Roman"/>
          <w:color w:val="000000"/>
          <w:sz w:val="28"/>
          <w:szCs w:val="28"/>
          <w:shd w:val="clear" w:color="auto" w:fill="FFFFFF"/>
        </w:rPr>
        <w:t xml:space="preserve">иков, благотворительные взносы, </w:t>
      </w:r>
      <w:r w:rsidRPr="00B024D8">
        <w:rPr>
          <w:rFonts w:ascii="Times New Roman" w:hAnsi="Times New Roman" w:cs="Times New Roman"/>
          <w:color w:val="000000"/>
          <w:sz w:val="28"/>
          <w:szCs w:val="28"/>
          <w:shd w:val="clear" w:color="auto" w:fill="FFFFFF"/>
        </w:rPr>
        <w:t>доходы от размещения пенсионных резервов.</w:t>
      </w:r>
    </w:p>
    <w:p w:rsidR="00630552"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r w:rsidRPr="00B024D8">
        <w:rPr>
          <w:rFonts w:ascii="Times New Roman" w:hAnsi="Times New Roman" w:cs="Times New Roman"/>
          <w:color w:val="000000"/>
          <w:sz w:val="28"/>
          <w:szCs w:val="28"/>
          <w:shd w:val="clear" w:color="auto" w:fill="FFFFFF"/>
        </w:rPr>
        <w:t>Правила инвестирования активов пенсионных фондов предусматривает их размещение в государственные ценные бумаги, ценные бумаги органов исполнительной власти субъектов российской Федерации и органов местного самоуправления, банковские вклады (депозиты), корпоративные ценные бумаги, недвижимое имущество, валютные ценности и денежные средства</w:t>
      </w:r>
      <w:r>
        <w:rPr>
          <w:rFonts w:ascii="Times New Roman" w:hAnsi="Times New Roman" w:cs="Times New Roman"/>
          <w:color w:val="000000"/>
          <w:sz w:val="28"/>
          <w:szCs w:val="28"/>
          <w:shd w:val="clear" w:color="auto" w:fill="FFFFFF"/>
        </w:rPr>
        <w:t>.</w:t>
      </w: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both"/>
        <w:rPr>
          <w:rFonts w:ascii="Times New Roman" w:hAnsi="Times New Roman" w:cs="Times New Roman"/>
          <w:color w:val="000000"/>
          <w:sz w:val="28"/>
          <w:szCs w:val="28"/>
          <w:shd w:val="clear" w:color="auto" w:fill="FFFFFF"/>
        </w:rPr>
      </w:pPr>
    </w:p>
    <w:p w:rsidR="00B024D8" w:rsidRDefault="00B024D8" w:rsidP="00B024D8">
      <w:pPr>
        <w:spacing w:line="360" w:lineRule="auto"/>
        <w:ind w:firstLine="708"/>
        <w:contextualSpacing/>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Список литературы</w:t>
      </w:r>
    </w:p>
    <w:p w:rsidR="00B024D8" w:rsidRDefault="00B024D8" w:rsidP="00B024D8">
      <w:pPr>
        <w:spacing w:line="360" w:lineRule="auto"/>
        <w:ind w:firstLine="708"/>
        <w:contextualSpacing/>
        <w:rPr>
          <w:rFonts w:ascii="Times New Roman" w:hAnsi="Times New Roman" w:cs="Times New Roman"/>
          <w:color w:val="000000"/>
          <w:sz w:val="28"/>
          <w:szCs w:val="28"/>
          <w:shd w:val="clear" w:color="auto" w:fill="FFFFFF"/>
        </w:rPr>
      </w:pPr>
    </w:p>
    <w:p w:rsidR="00B024D8" w:rsidRPr="00805E48" w:rsidRDefault="00B024D8" w:rsidP="00933D10">
      <w:pPr>
        <w:spacing w:line="360" w:lineRule="auto"/>
        <w:contextualSpacing/>
        <w:rPr>
          <w:rFonts w:ascii="Times New Roman" w:hAnsi="Times New Roman" w:cs="Times New Roman"/>
          <w:sz w:val="28"/>
          <w:szCs w:val="28"/>
        </w:rPr>
      </w:pPr>
      <w:r w:rsidRPr="00933D10">
        <w:rPr>
          <w:rFonts w:ascii="Times New Roman" w:hAnsi="Times New Roman" w:cs="Times New Roman"/>
          <w:sz w:val="28"/>
          <w:szCs w:val="28"/>
        </w:rPr>
        <w:t xml:space="preserve">1.Аналитика фондового рынка. </w:t>
      </w:r>
      <w:r w:rsidRPr="00933D10">
        <w:rPr>
          <w:rFonts w:ascii="Times New Roman" w:hAnsi="Times New Roman" w:cs="Times New Roman"/>
          <w:sz w:val="28"/>
          <w:szCs w:val="28"/>
          <w:lang w:val="en-US"/>
        </w:rPr>
        <w:t>URL</w:t>
      </w:r>
      <w:r w:rsidRPr="00805E48">
        <w:rPr>
          <w:rFonts w:ascii="Times New Roman" w:hAnsi="Times New Roman" w:cs="Times New Roman"/>
          <w:sz w:val="28"/>
          <w:szCs w:val="28"/>
        </w:rPr>
        <w:t xml:space="preserve">.: </w:t>
      </w:r>
      <w:hyperlink r:id="rId10" w:history="1">
        <w:r w:rsidRPr="00933D10">
          <w:rPr>
            <w:rStyle w:val="a3"/>
            <w:rFonts w:ascii="Times New Roman" w:hAnsi="Times New Roman" w:cs="Times New Roman"/>
            <w:sz w:val="28"/>
            <w:szCs w:val="28"/>
            <w:lang w:val="en-US"/>
          </w:rPr>
          <w:t>http</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stockinfocus</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ru</w:t>
        </w:r>
        <w:r w:rsidRPr="00805E48">
          <w:rPr>
            <w:rStyle w:val="a3"/>
            <w:rFonts w:ascii="Times New Roman" w:hAnsi="Times New Roman" w:cs="Times New Roman"/>
            <w:sz w:val="28"/>
            <w:szCs w:val="28"/>
          </w:rPr>
          <w:t>/2013/02/08/</w:t>
        </w:r>
        <w:r w:rsidRPr="00933D10">
          <w:rPr>
            <w:rStyle w:val="a3"/>
            <w:rFonts w:ascii="Times New Roman" w:hAnsi="Times New Roman" w:cs="Times New Roman"/>
            <w:sz w:val="28"/>
            <w:szCs w:val="28"/>
            <w:lang w:val="en-US"/>
          </w:rPr>
          <w:t>goldman</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sachs</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rossijskie</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pensionnye</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fondy</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mogut</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podnyat</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rynok</w:t>
        </w:r>
        <w:r w:rsidRPr="00805E48">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akcij</w:t>
        </w:r>
        <w:r w:rsidRPr="00805E48">
          <w:rPr>
            <w:rStyle w:val="a3"/>
            <w:rFonts w:ascii="Times New Roman" w:hAnsi="Times New Roman" w:cs="Times New Roman"/>
            <w:sz w:val="28"/>
            <w:szCs w:val="28"/>
          </w:rPr>
          <w:t>/</w:t>
        </w:r>
      </w:hyperlink>
      <w:r w:rsidR="00805E48" w:rsidRPr="00805E48">
        <w:t xml:space="preserve">. </w:t>
      </w:r>
      <w:r w:rsidR="00805E48" w:rsidRPr="00805E48">
        <w:rPr>
          <w:rFonts w:ascii="Times New Roman" w:hAnsi="Times New Roman" w:cs="Times New Roman"/>
          <w:sz w:val="28"/>
          <w:szCs w:val="28"/>
        </w:rPr>
        <w:t>– (Дата обращения 01.02.2014г.)</w:t>
      </w:r>
    </w:p>
    <w:p w:rsidR="007834F9" w:rsidRPr="00933D10" w:rsidRDefault="007834F9" w:rsidP="00933D10">
      <w:pPr>
        <w:pStyle w:val="Default"/>
        <w:spacing w:line="360" w:lineRule="auto"/>
        <w:rPr>
          <w:rFonts w:ascii="Times New Roman" w:hAnsi="Times New Roman" w:cs="Times New Roman"/>
          <w:sz w:val="28"/>
          <w:szCs w:val="28"/>
        </w:rPr>
      </w:pPr>
      <w:r w:rsidRPr="00A221FF">
        <w:rPr>
          <w:rFonts w:ascii="Times New Roman" w:hAnsi="Times New Roman" w:cs="Times New Roman"/>
          <w:sz w:val="28"/>
          <w:szCs w:val="28"/>
        </w:rPr>
        <w:t>2.</w:t>
      </w:r>
      <w:r w:rsidRPr="00933D10">
        <w:rPr>
          <w:rFonts w:ascii="Times New Roman" w:hAnsi="Times New Roman" w:cs="Times New Roman"/>
          <w:sz w:val="28"/>
          <w:szCs w:val="28"/>
        </w:rPr>
        <w:t>Обзор финансового рынка. Годовой обзор за 2012 год. Департамент исследований и информации Банка России</w:t>
      </w:r>
    </w:p>
    <w:p w:rsidR="007834F9" w:rsidRPr="00933D10" w:rsidRDefault="002C0D2D" w:rsidP="00933D10">
      <w:pPr>
        <w:pStyle w:val="Default"/>
        <w:spacing w:line="360" w:lineRule="auto"/>
        <w:rPr>
          <w:rFonts w:ascii="Times New Roman" w:hAnsi="Times New Roman" w:cs="Times New Roman"/>
          <w:sz w:val="28"/>
          <w:szCs w:val="28"/>
        </w:rPr>
      </w:pPr>
      <w:hyperlink r:id="rId11" w:history="1">
        <w:r w:rsidR="007834F9" w:rsidRPr="00933D10">
          <w:rPr>
            <w:rStyle w:val="a3"/>
            <w:rFonts w:ascii="Times New Roman" w:hAnsi="Times New Roman" w:cs="Times New Roman"/>
            <w:sz w:val="28"/>
            <w:szCs w:val="28"/>
          </w:rPr>
          <w:t>http://www.cbr.ru/analytics/fin_r/fin_mark_2012.pdf</w:t>
        </w:r>
      </w:hyperlink>
    </w:p>
    <w:p w:rsidR="007834F9" w:rsidRPr="00933D10" w:rsidRDefault="007834F9" w:rsidP="00933D10">
      <w:pPr>
        <w:tabs>
          <w:tab w:val="left" w:pos="2955"/>
        </w:tabs>
        <w:spacing w:line="360" w:lineRule="auto"/>
        <w:contextualSpacing/>
        <w:rPr>
          <w:rFonts w:ascii="Times New Roman" w:hAnsi="Times New Roman" w:cs="Times New Roman"/>
          <w:sz w:val="28"/>
          <w:szCs w:val="28"/>
        </w:rPr>
      </w:pPr>
      <w:r w:rsidRPr="00933D10">
        <w:rPr>
          <w:rFonts w:ascii="Times New Roman" w:hAnsi="Times New Roman" w:cs="Times New Roman"/>
          <w:sz w:val="28"/>
          <w:szCs w:val="28"/>
        </w:rPr>
        <w:t xml:space="preserve">3. Информационный портал, освещающий финансовый рынок и все возможные инструменты частных инвестиции. </w:t>
      </w:r>
      <w:hyperlink r:id="rId12" w:anchor="tab2" w:history="1">
        <w:r w:rsidRPr="00933D10">
          <w:rPr>
            <w:rStyle w:val="a3"/>
            <w:rFonts w:ascii="Times New Roman" w:hAnsi="Times New Roman" w:cs="Times New Roman"/>
            <w:sz w:val="28"/>
            <w:szCs w:val="28"/>
            <w:lang w:val="en-US"/>
          </w:rPr>
          <w:t>http</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pif</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investfunds</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ru</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uk</w:t>
        </w:r>
        <w:r w:rsidRPr="00A221FF">
          <w:rPr>
            <w:rStyle w:val="a3"/>
            <w:rFonts w:ascii="Times New Roman" w:hAnsi="Times New Roman" w:cs="Times New Roman"/>
            <w:sz w:val="28"/>
            <w:szCs w:val="28"/>
          </w:rPr>
          <w:t>/26#</w:t>
        </w:r>
        <w:r w:rsidRPr="00933D10">
          <w:rPr>
            <w:rStyle w:val="a3"/>
            <w:rFonts w:ascii="Times New Roman" w:hAnsi="Times New Roman" w:cs="Times New Roman"/>
            <w:sz w:val="28"/>
            <w:szCs w:val="28"/>
            <w:lang w:val="en-US"/>
          </w:rPr>
          <w:t>tab</w:t>
        </w:r>
        <w:r w:rsidRPr="00A221FF">
          <w:rPr>
            <w:rStyle w:val="a3"/>
            <w:rFonts w:ascii="Times New Roman" w:hAnsi="Times New Roman" w:cs="Times New Roman"/>
            <w:sz w:val="28"/>
            <w:szCs w:val="28"/>
          </w:rPr>
          <w:t>2</w:t>
        </w:r>
      </w:hyperlink>
      <w:r w:rsidR="00805E48">
        <w:t xml:space="preserve">. - </w:t>
      </w:r>
      <w:r w:rsidR="00805E48" w:rsidRPr="00805E48">
        <w:rPr>
          <w:rFonts w:ascii="Times New Roman" w:hAnsi="Times New Roman" w:cs="Times New Roman"/>
          <w:sz w:val="28"/>
          <w:szCs w:val="28"/>
        </w:rPr>
        <w:t>(Дата обращения 01.02.2014г.)</w:t>
      </w:r>
    </w:p>
    <w:p w:rsidR="007834F9" w:rsidRPr="00A221FF" w:rsidRDefault="007834F9" w:rsidP="00933D10">
      <w:pPr>
        <w:spacing w:line="360" w:lineRule="auto"/>
        <w:contextualSpacing/>
        <w:rPr>
          <w:rFonts w:ascii="Times New Roman" w:hAnsi="Times New Roman" w:cs="Times New Roman"/>
          <w:sz w:val="28"/>
          <w:szCs w:val="28"/>
        </w:rPr>
      </w:pPr>
      <w:r w:rsidRPr="00933D10">
        <w:rPr>
          <w:rFonts w:ascii="Times New Roman" w:hAnsi="Times New Roman" w:cs="Times New Roman"/>
          <w:sz w:val="28"/>
          <w:szCs w:val="28"/>
        </w:rPr>
        <w:t xml:space="preserve">4. УК «Ингосстрах-инвестиции». </w:t>
      </w:r>
      <w:r w:rsidRPr="00933D10">
        <w:rPr>
          <w:rFonts w:ascii="Times New Roman" w:hAnsi="Times New Roman" w:cs="Times New Roman"/>
          <w:sz w:val="28"/>
          <w:szCs w:val="28"/>
          <w:lang w:val="en-US"/>
        </w:rPr>
        <w:t>URL</w:t>
      </w:r>
      <w:r w:rsidRPr="00A221FF">
        <w:rPr>
          <w:rFonts w:ascii="Times New Roman" w:hAnsi="Times New Roman" w:cs="Times New Roman"/>
          <w:sz w:val="28"/>
          <w:szCs w:val="28"/>
        </w:rPr>
        <w:t xml:space="preserve">.: </w:t>
      </w:r>
      <w:hyperlink r:id="rId13" w:history="1">
        <w:r w:rsidRPr="00933D10">
          <w:rPr>
            <w:rStyle w:val="a3"/>
            <w:rFonts w:ascii="Times New Roman" w:hAnsi="Times New Roman" w:cs="Times New Roman"/>
            <w:sz w:val="28"/>
            <w:szCs w:val="28"/>
            <w:lang w:val="en-US"/>
          </w:rPr>
          <w:t>https</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www</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ingosinvest</w:t>
        </w:r>
        <w:r w:rsidRPr="00A221FF">
          <w:rPr>
            <w:rStyle w:val="a3"/>
            <w:rFonts w:ascii="Times New Roman" w:hAnsi="Times New Roman" w:cs="Times New Roman"/>
            <w:sz w:val="28"/>
            <w:szCs w:val="28"/>
          </w:rPr>
          <w:t>.</w:t>
        </w:r>
        <w:r w:rsidRPr="00933D10">
          <w:rPr>
            <w:rStyle w:val="a3"/>
            <w:rFonts w:ascii="Times New Roman" w:hAnsi="Times New Roman" w:cs="Times New Roman"/>
            <w:sz w:val="28"/>
            <w:szCs w:val="28"/>
            <w:lang w:val="en-US"/>
          </w:rPr>
          <w:t>ru</w:t>
        </w:r>
        <w:r w:rsidRPr="00A221FF">
          <w:rPr>
            <w:rStyle w:val="a3"/>
            <w:rFonts w:ascii="Times New Roman" w:hAnsi="Times New Roman" w:cs="Times New Roman"/>
            <w:sz w:val="28"/>
            <w:szCs w:val="28"/>
          </w:rPr>
          <w:t>/</w:t>
        </w:r>
      </w:hyperlink>
      <w:r w:rsidRPr="00A221FF">
        <w:rPr>
          <w:rFonts w:ascii="Times New Roman" w:hAnsi="Times New Roman" w:cs="Times New Roman"/>
          <w:sz w:val="28"/>
          <w:szCs w:val="28"/>
        </w:rPr>
        <w:t xml:space="preserve"> </w:t>
      </w:r>
    </w:p>
    <w:p w:rsidR="007834F9" w:rsidRPr="00A221FF" w:rsidRDefault="007834F9" w:rsidP="00933D10">
      <w:pPr>
        <w:spacing w:line="360" w:lineRule="auto"/>
        <w:contextualSpacing/>
        <w:rPr>
          <w:rFonts w:ascii="Times New Roman" w:hAnsi="Times New Roman" w:cs="Times New Roman"/>
          <w:sz w:val="28"/>
          <w:szCs w:val="28"/>
        </w:rPr>
      </w:pPr>
      <w:r w:rsidRPr="00933D10">
        <w:rPr>
          <w:rFonts w:ascii="Times New Roman" w:hAnsi="Times New Roman" w:cs="Times New Roman"/>
          <w:sz w:val="28"/>
          <w:szCs w:val="28"/>
        </w:rPr>
        <w:t xml:space="preserve">5. Федеральный закон от 05.03.1999 N 46-ФЗ (ред. от 29.12.2012) "О защите прав и законных интересов инвесторов на рынке ценных бумаг" Ист.: </w:t>
      </w:r>
      <w:hyperlink r:id="rId14" w:history="1">
        <w:r w:rsidRPr="00933D10">
          <w:rPr>
            <w:rStyle w:val="a3"/>
            <w:rFonts w:ascii="Times New Roman" w:hAnsi="Times New Roman" w:cs="Times New Roman"/>
            <w:sz w:val="28"/>
            <w:szCs w:val="28"/>
          </w:rPr>
          <w:t>http://data.investfunds.ru/law/46.pdf</w:t>
        </w:r>
      </w:hyperlink>
    </w:p>
    <w:p w:rsidR="007834F9" w:rsidRPr="00933D10" w:rsidRDefault="007834F9" w:rsidP="00933D10">
      <w:pPr>
        <w:spacing w:line="360" w:lineRule="auto"/>
        <w:rPr>
          <w:rFonts w:ascii="Times New Roman" w:hAnsi="Times New Roman" w:cs="Times New Roman"/>
          <w:color w:val="000000"/>
          <w:sz w:val="28"/>
          <w:szCs w:val="28"/>
        </w:rPr>
      </w:pPr>
      <w:r w:rsidRPr="00933D10">
        <w:rPr>
          <w:rFonts w:ascii="Times New Roman" w:hAnsi="Times New Roman" w:cs="Times New Roman"/>
          <w:sz w:val="28"/>
          <w:szCs w:val="28"/>
        </w:rPr>
        <w:t>6.</w:t>
      </w:r>
      <w:r w:rsidRPr="00933D10">
        <w:rPr>
          <w:rFonts w:ascii="Times New Roman" w:hAnsi="Times New Roman" w:cs="Times New Roman"/>
          <w:color w:val="000000"/>
          <w:sz w:val="28"/>
          <w:szCs w:val="28"/>
        </w:rPr>
        <w:t xml:space="preserve"> Базовый курс по рынку ценных бумаг: учебное пособие/ О.В. Ломтатидзе, М.И. Львова, А.В. Болотин и др.. – М.: КНОРУС, 2010. – 448 с.</w:t>
      </w:r>
    </w:p>
    <w:p w:rsidR="007834F9" w:rsidRPr="00933D10" w:rsidRDefault="007834F9" w:rsidP="00933D10">
      <w:pPr>
        <w:spacing w:line="360" w:lineRule="auto"/>
        <w:rPr>
          <w:rFonts w:ascii="Times New Roman" w:hAnsi="Times New Roman" w:cs="Times New Roman"/>
          <w:color w:val="000000"/>
          <w:sz w:val="28"/>
          <w:szCs w:val="28"/>
        </w:rPr>
      </w:pPr>
      <w:r w:rsidRPr="00933D10">
        <w:rPr>
          <w:rFonts w:ascii="Times New Roman" w:hAnsi="Times New Roman" w:cs="Times New Roman"/>
          <w:sz w:val="28"/>
          <w:szCs w:val="28"/>
        </w:rPr>
        <w:t xml:space="preserve">7. </w:t>
      </w:r>
      <w:r w:rsidRPr="00933D10">
        <w:rPr>
          <w:rFonts w:ascii="Times New Roman" w:hAnsi="Times New Roman" w:cs="Times New Roman"/>
          <w:color w:val="000000"/>
          <w:sz w:val="28"/>
          <w:szCs w:val="28"/>
        </w:rPr>
        <w:t>Базовый курс по рынку ценных бумаг. Под ред. Кокарева Р.А. – М., 2008 – 352 С. http://www.educenter.ru/documents/book_00.pdf</w:t>
      </w:r>
    </w:p>
    <w:p w:rsidR="007834F9" w:rsidRPr="00933D10" w:rsidRDefault="00805E48" w:rsidP="00933D10">
      <w:pPr>
        <w:spacing w:line="360" w:lineRule="auto"/>
        <w:contextualSpacing/>
        <w:rPr>
          <w:rFonts w:ascii="Times New Roman" w:hAnsi="Times New Roman" w:cs="Times New Roman"/>
          <w:sz w:val="28"/>
          <w:szCs w:val="28"/>
        </w:rPr>
      </w:pPr>
      <w:r>
        <w:rPr>
          <w:rFonts w:ascii="Times New Roman" w:hAnsi="Times New Roman" w:cs="Times New Roman"/>
          <w:color w:val="000000"/>
          <w:sz w:val="28"/>
          <w:szCs w:val="28"/>
          <w:shd w:val="clear" w:color="auto" w:fill="FFFFFF"/>
        </w:rPr>
        <w:t>8</w:t>
      </w:r>
      <w:r w:rsidR="007834F9" w:rsidRPr="00933D10">
        <w:rPr>
          <w:rFonts w:ascii="Times New Roman" w:hAnsi="Times New Roman" w:cs="Times New Roman"/>
          <w:color w:val="000000"/>
          <w:sz w:val="28"/>
          <w:szCs w:val="28"/>
          <w:shd w:val="clear" w:color="auto" w:fill="FFFFFF"/>
        </w:rPr>
        <w:t xml:space="preserve">. </w:t>
      </w:r>
      <w:r w:rsidR="007834F9" w:rsidRPr="00933D10">
        <w:rPr>
          <w:rFonts w:ascii="Times New Roman" w:hAnsi="Times New Roman" w:cs="Times New Roman"/>
          <w:color w:val="372209"/>
          <w:sz w:val="28"/>
          <w:szCs w:val="28"/>
          <w:shd w:val="clear" w:color="auto" w:fill="FFFFFF"/>
        </w:rPr>
        <w:t>Учебное пособие, Т.А.Батяева, И.И.Столяров, Рынок ценных бумаг, глава 1, Москва, ИНФРА-М, 2011</w:t>
      </w:r>
      <w:r w:rsidR="00933D10" w:rsidRPr="00933D10">
        <w:rPr>
          <w:rFonts w:ascii="Times New Roman" w:hAnsi="Times New Roman" w:cs="Times New Roman"/>
          <w:color w:val="372209"/>
          <w:sz w:val="28"/>
          <w:szCs w:val="28"/>
          <w:shd w:val="clear" w:color="auto" w:fill="FFFFFF"/>
        </w:rPr>
        <w:t>. – 236 с.</w:t>
      </w:r>
    </w:p>
    <w:p w:rsidR="007834F9" w:rsidRPr="007834F9" w:rsidRDefault="007834F9" w:rsidP="007834F9">
      <w:pPr>
        <w:spacing w:line="360" w:lineRule="auto"/>
        <w:contextualSpacing/>
        <w:rPr>
          <w:rFonts w:ascii="Times New Roman" w:hAnsi="Times New Roman" w:cs="Times New Roman"/>
          <w:sz w:val="28"/>
          <w:szCs w:val="28"/>
        </w:rPr>
      </w:pPr>
    </w:p>
    <w:p w:rsidR="007834F9" w:rsidRPr="007834F9" w:rsidRDefault="007834F9" w:rsidP="00B024D8">
      <w:pPr>
        <w:spacing w:line="360" w:lineRule="auto"/>
        <w:contextualSpacing/>
        <w:rPr>
          <w:rFonts w:ascii="Times New Roman" w:hAnsi="Times New Roman" w:cs="Times New Roman"/>
          <w:sz w:val="28"/>
          <w:szCs w:val="28"/>
        </w:rPr>
      </w:pPr>
    </w:p>
    <w:sectPr w:rsidR="007834F9" w:rsidRPr="007834F9" w:rsidSect="00933D10">
      <w:footerReference w:type="default" r:id="rId1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681" w:rsidRDefault="005A7681" w:rsidP="00933D10">
      <w:pPr>
        <w:spacing w:after="0" w:line="240" w:lineRule="auto"/>
      </w:pPr>
      <w:r>
        <w:separator/>
      </w:r>
    </w:p>
  </w:endnote>
  <w:endnote w:type="continuationSeparator" w:id="1">
    <w:p w:rsidR="005A7681" w:rsidRDefault="005A7681" w:rsidP="00933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85774"/>
      <w:docPartObj>
        <w:docPartGallery w:val="Page Numbers (Bottom of Page)"/>
        <w:docPartUnique/>
      </w:docPartObj>
    </w:sdtPr>
    <w:sdtContent>
      <w:p w:rsidR="00933D10" w:rsidRDefault="002C0D2D">
        <w:pPr>
          <w:pStyle w:val="ab"/>
          <w:jc w:val="right"/>
        </w:pPr>
        <w:fldSimple w:instr=" PAGE   \* MERGEFORMAT ">
          <w:r w:rsidR="00805E48">
            <w:rPr>
              <w:noProof/>
            </w:rPr>
            <w:t>18</w:t>
          </w:r>
        </w:fldSimple>
      </w:p>
    </w:sdtContent>
  </w:sdt>
  <w:p w:rsidR="00933D10" w:rsidRDefault="00933D1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681" w:rsidRDefault="005A7681" w:rsidP="00933D10">
      <w:pPr>
        <w:spacing w:after="0" w:line="240" w:lineRule="auto"/>
      </w:pPr>
      <w:r>
        <w:separator/>
      </w:r>
    </w:p>
  </w:footnote>
  <w:footnote w:type="continuationSeparator" w:id="1">
    <w:p w:rsidR="005A7681" w:rsidRDefault="005A7681" w:rsidP="00933D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62298"/>
    <w:multiLevelType w:val="hybridMultilevel"/>
    <w:tmpl w:val="CEBED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8432CE"/>
    <w:multiLevelType w:val="hybridMultilevel"/>
    <w:tmpl w:val="88E40C34"/>
    <w:lvl w:ilvl="0" w:tplc="ED58D1EA">
      <w:start w:val="1"/>
      <w:numFmt w:val="decimal"/>
      <w:lvlText w:val="%1."/>
      <w:lvlJc w:val="left"/>
      <w:pPr>
        <w:ind w:left="1068" w:hanging="360"/>
      </w:pPr>
      <w:rPr>
        <w:rFonts w:hint="default"/>
        <w:color w:val="000000"/>
        <w:sz w:val="27"/>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4FD0564"/>
    <w:multiLevelType w:val="hybridMultilevel"/>
    <w:tmpl w:val="9D8EC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A8583F"/>
    <w:multiLevelType w:val="hybridMultilevel"/>
    <w:tmpl w:val="EF86A7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547A5"/>
    <w:rsid w:val="00050B28"/>
    <w:rsid w:val="00192007"/>
    <w:rsid w:val="001F1859"/>
    <w:rsid w:val="002C0D2D"/>
    <w:rsid w:val="003645B3"/>
    <w:rsid w:val="0044210B"/>
    <w:rsid w:val="005228A1"/>
    <w:rsid w:val="005A7681"/>
    <w:rsid w:val="00630552"/>
    <w:rsid w:val="006562E9"/>
    <w:rsid w:val="00664186"/>
    <w:rsid w:val="007834F9"/>
    <w:rsid w:val="00805E48"/>
    <w:rsid w:val="00865DCF"/>
    <w:rsid w:val="00933D10"/>
    <w:rsid w:val="00A221FF"/>
    <w:rsid w:val="00B024D8"/>
    <w:rsid w:val="00B547A5"/>
    <w:rsid w:val="00D54100"/>
    <w:rsid w:val="00E83A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D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7A5"/>
    <w:rPr>
      <w:color w:val="0000FF" w:themeColor="hyperlink"/>
      <w:u w:val="single"/>
    </w:rPr>
  </w:style>
  <w:style w:type="character" w:styleId="a4">
    <w:name w:val="FollowedHyperlink"/>
    <w:basedOn w:val="a0"/>
    <w:uiPriority w:val="99"/>
    <w:semiHidden/>
    <w:unhideWhenUsed/>
    <w:rsid w:val="00664186"/>
    <w:rPr>
      <w:color w:val="800080" w:themeColor="followedHyperlink"/>
      <w:u w:val="single"/>
    </w:rPr>
  </w:style>
  <w:style w:type="character" w:customStyle="1" w:styleId="apple-converted-space">
    <w:name w:val="apple-converted-space"/>
    <w:basedOn w:val="a0"/>
    <w:rsid w:val="00664186"/>
  </w:style>
  <w:style w:type="paragraph" w:styleId="a5">
    <w:name w:val="List Paragraph"/>
    <w:basedOn w:val="a"/>
    <w:uiPriority w:val="34"/>
    <w:qFormat/>
    <w:rsid w:val="00664186"/>
    <w:pPr>
      <w:ind w:left="720"/>
      <w:contextualSpacing/>
    </w:pPr>
  </w:style>
  <w:style w:type="paragraph" w:styleId="a6">
    <w:name w:val="Normal (Web)"/>
    <w:basedOn w:val="a"/>
    <w:uiPriority w:val="99"/>
    <w:semiHidden/>
    <w:unhideWhenUsed/>
    <w:rsid w:val="00E83A3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E83A3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3A31"/>
    <w:rPr>
      <w:rFonts w:ascii="Tahoma" w:hAnsi="Tahoma" w:cs="Tahoma"/>
      <w:sz w:val="16"/>
      <w:szCs w:val="16"/>
    </w:rPr>
  </w:style>
  <w:style w:type="paragraph" w:customStyle="1" w:styleId="Default">
    <w:name w:val="Default"/>
    <w:rsid w:val="007834F9"/>
    <w:pPr>
      <w:autoSpaceDE w:val="0"/>
      <w:autoSpaceDN w:val="0"/>
      <w:adjustRightInd w:val="0"/>
      <w:spacing w:after="0" w:line="240" w:lineRule="auto"/>
    </w:pPr>
    <w:rPr>
      <w:rFonts w:ascii="Tahoma" w:eastAsiaTheme="minorHAnsi" w:hAnsi="Tahoma" w:cs="Tahoma"/>
      <w:color w:val="000000"/>
      <w:sz w:val="24"/>
      <w:szCs w:val="24"/>
      <w:lang w:eastAsia="en-US"/>
    </w:rPr>
  </w:style>
  <w:style w:type="paragraph" w:styleId="a9">
    <w:name w:val="header"/>
    <w:basedOn w:val="a"/>
    <w:link w:val="aa"/>
    <w:uiPriority w:val="99"/>
    <w:semiHidden/>
    <w:unhideWhenUsed/>
    <w:rsid w:val="00933D1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33D10"/>
  </w:style>
  <w:style w:type="paragraph" w:styleId="ab">
    <w:name w:val="footer"/>
    <w:basedOn w:val="a"/>
    <w:link w:val="ac"/>
    <w:uiPriority w:val="99"/>
    <w:unhideWhenUsed/>
    <w:rsid w:val="00933D1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33D10"/>
  </w:style>
</w:styles>
</file>

<file path=word/webSettings.xml><?xml version="1.0" encoding="utf-8"?>
<w:webSettings xmlns:r="http://schemas.openxmlformats.org/officeDocument/2006/relationships" xmlns:w="http://schemas.openxmlformats.org/wordprocessingml/2006/main">
  <w:divs>
    <w:div w:id="801000813">
      <w:bodyDiv w:val="1"/>
      <w:marLeft w:val="0"/>
      <w:marRight w:val="0"/>
      <w:marTop w:val="0"/>
      <w:marBottom w:val="0"/>
      <w:divBdr>
        <w:top w:val="none" w:sz="0" w:space="0" w:color="auto"/>
        <w:left w:val="none" w:sz="0" w:space="0" w:color="auto"/>
        <w:bottom w:val="none" w:sz="0" w:space="0" w:color="auto"/>
        <w:right w:val="none" w:sz="0" w:space="0" w:color="auto"/>
      </w:divBdr>
    </w:div>
    <w:div w:id="819731685">
      <w:bodyDiv w:val="1"/>
      <w:marLeft w:val="0"/>
      <w:marRight w:val="0"/>
      <w:marTop w:val="0"/>
      <w:marBottom w:val="0"/>
      <w:divBdr>
        <w:top w:val="none" w:sz="0" w:space="0" w:color="auto"/>
        <w:left w:val="none" w:sz="0" w:space="0" w:color="auto"/>
        <w:bottom w:val="none" w:sz="0" w:space="0" w:color="auto"/>
        <w:right w:val="none" w:sz="0" w:space="0" w:color="auto"/>
      </w:divBdr>
    </w:div>
    <w:div w:id="822430495">
      <w:bodyDiv w:val="1"/>
      <w:marLeft w:val="0"/>
      <w:marRight w:val="0"/>
      <w:marTop w:val="0"/>
      <w:marBottom w:val="0"/>
      <w:divBdr>
        <w:top w:val="none" w:sz="0" w:space="0" w:color="auto"/>
        <w:left w:val="none" w:sz="0" w:space="0" w:color="auto"/>
        <w:bottom w:val="none" w:sz="0" w:space="0" w:color="auto"/>
        <w:right w:val="none" w:sz="0" w:space="0" w:color="auto"/>
      </w:divBdr>
    </w:div>
    <w:div w:id="89962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gosinve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if.investfunds.ru/uk/2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analytics/fin_r/fin_mark_2012.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ckinfocus.ru/2013/02/08/goldman-sachs-rossijskie-pensionnye-fondy-mogut-podnyat-rynok-akcij/"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ata.investfunds.ru/law/4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0879D-BFA6-4E9E-85D1-B474A343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3509</Words>
  <Characters>20005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7</cp:revision>
  <cp:lastPrinted>2014-02-07T05:00:00Z</cp:lastPrinted>
  <dcterms:created xsi:type="dcterms:W3CDTF">2014-02-03T04:56:00Z</dcterms:created>
  <dcterms:modified xsi:type="dcterms:W3CDTF">2014-02-07T05:00:00Z</dcterms:modified>
</cp:coreProperties>
</file>