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1FD" w:rsidRDefault="008B21FD" w:rsidP="001F21D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СОДЕРЖАНИЕ</w:t>
      </w:r>
    </w:p>
    <w:p w:rsidR="004C3F24" w:rsidRPr="004C3F24" w:rsidRDefault="004C3F24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C3F24" w:rsidRPr="004C3F24" w:rsidRDefault="004C3F24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F2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вопрос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</w:t>
      </w:r>
      <w:r w:rsidR="00A34AF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…..…3</w:t>
      </w:r>
    </w:p>
    <w:p w:rsidR="004C3F24" w:rsidRPr="004C3F24" w:rsidRDefault="004C3F24" w:rsidP="001F21D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4C3F24">
        <w:rPr>
          <w:rFonts w:ascii="Times New Roman" w:hAnsi="Times New Roman" w:cs="Times New Roman"/>
          <w:sz w:val="28"/>
          <w:szCs w:val="28"/>
        </w:rPr>
        <w:t>Контрольные тестовые задания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A34AFC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…..9</w:t>
      </w:r>
    </w:p>
    <w:p w:rsidR="008B21FD" w:rsidRPr="004C3F24" w:rsidRDefault="008B21FD" w:rsidP="001F21D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4C3F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Задача</w:t>
      </w:r>
      <w:r w:rsidR="004C3F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…………………………………………………………………………..</w:t>
      </w:r>
      <w:r w:rsidRPr="004C3F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C3F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10</w:t>
      </w:r>
      <w:r w:rsidRPr="004C3F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         </w:t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                      </w:t>
      </w:r>
      <w:r w:rsidRP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Список исполь</w:t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зуемой литературы</w:t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  <w:t>……………………………………</w:t>
      </w:r>
      <w:r w:rsidR="00ED5F5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……...11</w:t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</w:r>
      <w:r w:rsidR="004C3F2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  <w:t xml:space="preserve">    </w:t>
      </w: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C3F24" w:rsidRDefault="004C3F24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C3F24" w:rsidRPr="004C3F24" w:rsidRDefault="004C3F24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1FD" w:rsidRPr="004C3F24" w:rsidRDefault="008B21FD" w:rsidP="001F21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F21D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Теоритический вопрос.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b/>
          <w:sz w:val="28"/>
          <w:szCs w:val="28"/>
        </w:rPr>
        <w:t>1.Особенности синтетического и аналитического учета валютных операций в коммерческом банке. Бухгалтерские проводки, оформ</w:t>
      </w:r>
      <w:r w:rsidRPr="001F21D5">
        <w:rPr>
          <w:rFonts w:ascii="Times New Roman" w:eastAsia="Calibri" w:hAnsi="Times New Roman" w:cs="Times New Roman"/>
          <w:b/>
          <w:sz w:val="28"/>
          <w:szCs w:val="28"/>
        </w:rPr>
        <w:softHyphen/>
        <w:t>ляющие валютно-обменные операции</w:t>
      </w:r>
      <w:r w:rsidRPr="001F21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Основным нормативным актом, регулирующим порядок совершения банками валютных операций, в том числе операций купли-продажи иностранной валюты, является Федеральный закон от 10.12.2003 № 173-ФЗ «О валютном регулировании и валютном контроле» (далее — Закон № 173-ФЗ).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Порядок бухгалтерского учета валютных операций определен Положением Банка России от 26.03.2007 № 302-П «О правилах ведения бухгалтерского учета в кредитных организациях, расположенных на территории Российской Федерации» (далее — Положение № 302-П).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Покупка и продажа иностранной валюты регламентирована Инструкцией Банка России от 16.09.2010 № 136-И «О порядке осуществления уполномоченными банками (филиалами) отдельных видов банковских операций с наличной иностранной валютой и операций с чеками (в том числе дорожными чеками), номинальная стоимость которых указана в иностранной валюте, c участием физических лиц».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Порядок проведения торгов на межбанковских валютных биржах прописан в Положении Банка России от 16.06.1999 № 77-П «О порядке и условиях проведения торгов иностранной валютой за российские рубли на единой торговой сессии межбанковских валютных бирж».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Бухгалтерский учет валютно-обменных операций осуществляется в разрезе синтетического, аналитического и внебалансового учета.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 xml:space="preserve">Аналитический учет валютно-обменных операций ведется в лицевых счетах (карточках, книгах, журналах), открываемых по каждому виду наличной иностранной валюты, платежных документов в иностранной валюте, платежных и неплатежных денежных знаков иностранных </w:t>
      </w:r>
      <w:r w:rsidRPr="001F21D5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 и платежных документов в иностранной валюте, а также в разрезе обменных пунктов.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Признак подлинности и платежности рубля, код валюты или драгоценного металла указываются в номере аналитического лицевого двадцатизначного счета (символы с 6-го по 8-й). Коды валют установлены Общероссийским классификатором валют, утвержденным Постановлением Госстандарта России от 25.12.2000 № 405-Т. Порядок применения кодов и признаков валют установлен Приложением 1 к Положению № 302-П.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Бухгалтерский учет операций по покупке и продаже наличной иностранной валюты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Наличная валюта (валюта РФ и валюта иностранных государств) учитывается в банках на счете 20202 «Касса кредитных организаций» (счет активный). Cчет 20202 предназначен для учета наличных денежных средств в рублях и иностранной валюте, находящихся в операционной кассе кредитной организации (филиала) и отдельных структурных подразделениях.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Поступление денежной наличности в рублях и иностранной валюте отражается по дебету счета 20202, а ее списание (выдача) — по кредиту. Курсовые разницы (доходы и расходы), возникающие у кредитной организации при совершении операций покупки-продажи наличной иностранной валюты, отражаются по дебету и кредиту счета 20202, открытого в иностранной валюте.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В аналитическом учете по счету 20202 ведутся отдельные лицевые счета: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— по операционной кассе кредитной организации (филиала), по отдельным внутренним структурным подразделениям и по хранилищам ценностей;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— по видам валют;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— по учету авансов денежной наличности, выданных (полученных) для осуществления кассового обслуживания физических лиц в послеоперационное время, в выходные и нерабочие праздничные дни.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lastRenderedPageBreak/>
        <w:t>Выдача денежной наличности и ценностей кассовому работнику для совершения операций в операционной кассе банка производится по книге учета принятых и выданных денег (ценностей) без отражения на балансовых и внебалансовых счетах. Операции покупки-продажи иностранной валюты проводятся в бухгалтерском учете по курсу сделки (курсу банка) с отражением курсовой разницы.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При покупке наличной иностранной валюты (например, долларов США, код (840)) за наличную валюту РФ (рубли, код (810) оформляется следующая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Дт 20202 (840) «Касса кредитной организации»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Кт 20202 (810) «Касса кредитной организации».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Разница между рублевым эквивалентом поступившей в кассу иностранной валюты и суммой в рублях, выплаченной клиенту за купленную у него валюту, относится на доходы или расходы кредитной организации.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Под валютно-обменными операциями понимаются покупка и продажа наличной иностранной валюты банком за счет наличных средств физических лиц (резидентов и нерезидентов). Для выполнения указанных операций коммерческий банк использует операционную валютную кассу в помещении банка или создает (организует) и открывает обменные пункты ин валют. Обменные пункты на основании приказа руководителя банка с выполнением</w:t>
      </w:r>
    </w:p>
    <w:p w:rsidR="001F21D5" w:rsidRPr="001F21D5" w:rsidRDefault="001F21D5" w:rsidP="001F21D5">
      <w:p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 xml:space="preserve">всех требований, изложенных в разделе 2 инструкции № 27 “Порядок организации работыобменных пунктов”. </w:t>
      </w:r>
    </w:p>
    <w:p w:rsidR="001F21D5" w:rsidRPr="001F21D5" w:rsidRDefault="001F21D5" w:rsidP="001F21D5">
      <w:p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Бухгалтерские проводки, оформ</w:t>
      </w:r>
      <w:r w:rsidRPr="001F21D5">
        <w:rPr>
          <w:rFonts w:ascii="Times New Roman" w:eastAsia="Calibri" w:hAnsi="Times New Roman" w:cs="Times New Roman"/>
          <w:sz w:val="28"/>
          <w:szCs w:val="28"/>
        </w:rPr>
        <w:softHyphen/>
        <w:t>ляющие валютно-обменные операции: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из кассы банка выдано денежное подкрепление в рублях в кассу обменного пункта, то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 «Касса обменных пунктов»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20202 «Касса банка»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из кассы банка выдан аванс в иностранной валюте, то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lastRenderedPageBreak/>
        <w:t>К 20202.840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При выдаче аванса платежными документами в иностранной валюте (например, в долларах США)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91207 «Бланки» по лицевому счету «Бланки чеков, номинальная стоимость которых указана в иностранной валюте, находящиеся в обменном пункте»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91207 «Бланки» по лицевому счету «Бланки чеков, номинальная стоимость которых указана в иностранной валюте, находящиеся в хранилище»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Проводка выполняется на количество переданных бланков в условной оценке 1 руб. за 1 бланк.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обменный пункт выполнил операцию по продаже определенной суммы иностранной валюты за рубли по курсу, превышающему официальный курс, установленный Банком России, то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20206.810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70601.810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Проводка по кредиту счета 70601 выполняется на сумму разницы между курсом продажи валюты, установленным обменным пунктом, и курсом Банка России.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обменный пункт банка осуществил операцию по покупке иностранной валюты по курсу ниже, чем курс, установленный Банком России, то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20206.810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70601.810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выполняется операция по обмену долларов США на наличные евродоллары, то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lastRenderedPageBreak/>
        <w:t>К 20206.978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70601.810 по кросс-курсу ниже, чем установленный курс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из кассы обменного пункта производится выплата наличной иностранной валюты за счет средств на счетах для расчетов пластиковыми картами,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40817 «Физические лица»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20206.840 «Касса обменного пункта»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в кассу обменного пункта сдается иностранная валюта для зачисления на счета владельцев пластиковых карт, то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40817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При передаче остатка денежных средств в кассу банка из обменного пункта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20202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20206 на сумму сданных рублевых средств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При сдаче в кассу банка наличной иностранной валюты кассой обменного пункта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20202.840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из обменного пункта передан неплатежеспособный денежный знак, принятый от клиента, то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20202 «Касса банка»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20206 «Касса обменного пункта»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из кассы банка неплатежеспособный денежный знак передан на инкассо в иностранный банк (доллары США), то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20209.840 «Денежные средства в пути»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20202.840 «Касса банка»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Одновременно на внебалансовых счетах совершается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91102.840 «Иностранная валюта, отосланная на инкассо»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99999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lastRenderedPageBreak/>
        <w:t>После поступления из иностранного банка возмещения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20202.840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20209.840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Одновременно производится списание средств с внебалансового учета: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99999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91102.840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Если обменный пункт продает дорожные чеки в иностранной валюте за рубли, то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На сумму, превышающую официальный курс,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70601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При зачислении комиссии, полученной от клиента за совершенную операцию, выполняется проводка: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70601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Аналогично выполняются проводки, если продажа дорожных чеков осуществляется за иностранную валюту по цене выше номинала: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70601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Сумма комиссий, полученных от клиентов, зачисляется в доходы банка проводкой: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Д 20206.840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D5">
        <w:rPr>
          <w:rFonts w:ascii="Times New Roman" w:eastAsia="Calibri" w:hAnsi="Times New Roman" w:cs="Times New Roman"/>
          <w:sz w:val="28"/>
          <w:szCs w:val="28"/>
        </w:rPr>
        <w:t>К 70601</w:t>
      </w:r>
    </w:p>
    <w:p w:rsidR="001F21D5" w:rsidRPr="001F21D5" w:rsidRDefault="001F21D5" w:rsidP="001F21D5">
      <w:pPr>
        <w:spacing w:after="16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21D5" w:rsidRDefault="001F21D5" w:rsidP="001F21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1D5" w:rsidRDefault="001F21D5" w:rsidP="001F21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7E5A" w:rsidRPr="004C3F24" w:rsidRDefault="00447E5A" w:rsidP="001F21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F24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тестовые задания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Тест 1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 xml:space="preserve">Юридическое лицо, созданное в соответствии с законодательством РФ, одним из видов деятельности которого является организация биржевых торгов иностранной валютой — это (согласно </w:t>
      </w:r>
      <w:r w:rsidR="001F21D5">
        <w:rPr>
          <w:rFonts w:ascii="Times New Roman" w:hAnsi="Times New Roman" w:cs="Times New Roman"/>
          <w:sz w:val="28"/>
          <w:szCs w:val="28"/>
        </w:rPr>
        <w:t>№173-</w:t>
      </w:r>
      <w:r w:rsidR="001F21D5" w:rsidRPr="001F21D5">
        <w:rPr>
          <w:rFonts w:ascii="Times New Roman" w:hAnsi="Times New Roman" w:cs="Times New Roman"/>
          <w:sz w:val="28"/>
          <w:szCs w:val="28"/>
        </w:rPr>
        <w:t>ФЗ</w:t>
      </w:r>
      <w:r w:rsidRPr="004C3F24">
        <w:rPr>
          <w:rFonts w:ascii="Times New Roman" w:hAnsi="Times New Roman" w:cs="Times New Roman"/>
          <w:sz w:val="28"/>
          <w:szCs w:val="28"/>
        </w:rPr>
        <w:t xml:space="preserve"> РФ «О валютном регулировании и валютном контроле»):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1) уполномоченный банк;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2) Центральный банк Российской Федерации;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3) валютная биржа;</w:t>
      </w:r>
    </w:p>
    <w:p w:rsidR="00447E5A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4) небанковская кредитная организация.</w:t>
      </w:r>
    </w:p>
    <w:p w:rsidR="00ED5F5A" w:rsidRPr="004C3F24" w:rsidRDefault="00ED5F5A" w:rsidP="001F21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(3)</w:t>
      </w:r>
      <w:r w:rsidRPr="00ED5F5A">
        <w:t xml:space="preserve"> </w:t>
      </w:r>
      <w:r w:rsidRPr="00ED5F5A">
        <w:rPr>
          <w:rFonts w:ascii="Times New Roman" w:hAnsi="Times New Roman" w:cs="Times New Roman"/>
          <w:sz w:val="28"/>
          <w:szCs w:val="28"/>
        </w:rPr>
        <w:t xml:space="preserve">П.11 ст. 1 </w:t>
      </w:r>
      <w:r w:rsidR="001F21D5">
        <w:rPr>
          <w:rFonts w:ascii="Times New Roman" w:hAnsi="Times New Roman" w:cs="Times New Roman"/>
          <w:sz w:val="28"/>
          <w:szCs w:val="28"/>
        </w:rPr>
        <w:t>№173-</w:t>
      </w:r>
      <w:r w:rsidR="001F21D5" w:rsidRPr="001F21D5">
        <w:rPr>
          <w:rFonts w:ascii="Times New Roman" w:hAnsi="Times New Roman" w:cs="Times New Roman"/>
          <w:sz w:val="28"/>
          <w:szCs w:val="28"/>
        </w:rPr>
        <w:t xml:space="preserve"> ФЗ </w:t>
      </w:r>
      <w:r w:rsidRPr="00ED5F5A">
        <w:rPr>
          <w:rFonts w:ascii="Times New Roman" w:hAnsi="Times New Roman" w:cs="Times New Roman"/>
          <w:sz w:val="28"/>
          <w:szCs w:val="28"/>
        </w:rPr>
        <w:t>«О валютном регулировании и валютном контроле» устанавливается, что валютные биржи – это юридические лица, созданные в соответствии с законодательством РФ, одним из видов деятельности которых является организация биржевых торгов иностранной валюты в порядке и на условиях, которые установлены Центральным банком РФ.</w:t>
      </w:r>
    </w:p>
    <w:p w:rsidR="00447E5A" w:rsidRPr="004C3F24" w:rsidRDefault="00447E5A" w:rsidP="001F21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Тест 2</w:t>
      </w:r>
    </w:p>
    <w:p w:rsidR="00447E5A" w:rsidRPr="004C3F24" w:rsidRDefault="00447E5A" w:rsidP="001F21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Сумма, на которую может единовременно вывезти из Российской Федерации физическое лицо-резидент дорожные чеки, состаляет: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1) 3000 долл.,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2) 5000 долл.,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3) 10 000 долл.,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4) не ограничена.</w:t>
      </w:r>
    </w:p>
    <w:p w:rsidR="00447E5A" w:rsidRPr="004C3F24" w:rsidRDefault="00447E5A" w:rsidP="001F21D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5F5A">
        <w:rPr>
          <w:rFonts w:ascii="Times New Roman" w:hAnsi="Times New Roman" w:cs="Times New Roman"/>
          <w:sz w:val="28"/>
          <w:szCs w:val="28"/>
        </w:rPr>
        <w:t>Ответ</w:t>
      </w:r>
      <w:r w:rsidR="00ED5F5A" w:rsidRPr="00ED5F5A">
        <w:rPr>
          <w:rFonts w:ascii="Times New Roman" w:hAnsi="Times New Roman" w:cs="Times New Roman"/>
          <w:sz w:val="28"/>
          <w:szCs w:val="28"/>
        </w:rPr>
        <w:t>: (4)</w:t>
      </w:r>
      <w:r w:rsidRPr="004C3F2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Вывоз из РФ дорожных чеков свободен и не ограничивается какими-либо суммами. Предусмотрено только требование подачи таможенной декларации, если сумма вывозимых дорожных чеков превышает в эквиваленте </w:t>
      </w:r>
      <w:r w:rsidRPr="004C3F2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10 000 долларов США (без учета суммы единовременно вывозимой валюты РФ, иностранной валюты, ценных бумаг). </w:t>
      </w:r>
    </w:p>
    <w:p w:rsidR="001F21D5" w:rsidRDefault="001F21D5" w:rsidP="001F21D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13A" w:rsidRPr="004C3F24" w:rsidRDefault="0053313A" w:rsidP="001F21D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F24">
        <w:rPr>
          <w:rFonts w:ascii="Times New Roman" w:hAnsi="Times New Roman" w:cs="Times New Roman"/>
          <w:b/>
          <w:sz w:val="28"/>
          <w:szCs w:val="28"/>
        </w:rPr>
        <w:t>Задача 8</w:t>
      </w:r>
    </w:p>
    <w:p w:rsidR="0053313A" w:rsidRPr="004C3F24" w:rsidRDefault="0053313A" w:rsidP="001F21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Гражданин А разместил 26 500 руб. в депозит коммерческого банка на три месяца для получения процентного дохода (ставка по депозиту — 18% годовых).</w:t>
      </w:r>
    </w:p>
    <w:p w:rsidR="0053313A" w:rsidRPr="004C3F24" w:rsidRDefault="0053313A" w:rsidP="001F21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Гражданин Б купил 1000 долларов США по курсу 29,5 руб. и разместил их в долларовый депозит коммерческого банка на три месяца для получения процентного дохода (ставка по депозиту — 12% годовых).</w:t>
      </w:r>
    </w:p>
    <w:p w:rsidR="0053313A" w:rsidRPr="004C3F24" w:rsidRDefault="0053313A" w:rsidP="001F21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Какой доход (убыток) в рублях получили гражданин А и Б по депозиту, если курс доллара по отношению к рублю через три месяца составил 29,3 руб.? (26,3 руб)</w:t>
      </w:r>
    </w:p>
    <w:p w:rsidR="0053313A" w:rsidRPr="004C3F24" w:rsidRDefault="0053313A" w:rsidP="001F21D5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3F24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53313A" w:rsidRPr="004C3F24" w:rsidRDefault="0053313A" w:rsidP="001F21D5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3F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3F24">
        <w:rPr>
          <w:rFonts w:ascii="Times New Roman" w:hAnsi="Times New Roman" w:cs="Times New Roman"/>
          <w:sz w:val="28"/>
          <w:szCs w:val="28"/>
        </w:rPr>
        <w:t>Доход по депозиту гражданина А составил</w:t>
      </w:r>
    </w:p>
    <w:p w:rsidR="0053313A" w:rsidRPr="004C3F24" w:rsidRDefault="0053313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26500*18%*90/365*100=1176,16 руб</w:t>
      </w:r>
    </w:p>
    <w:p w:rsidR="0053313A" w:rsidRPr="004C3F24" w:rsidRDefault="0053313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26500+1176,16=27 676,16</w:t>
      </w:r>
    </w:p>
    <w:p w:rsidR="0053313A" w:rsidRPr="004C3F24" w:rsidRDefault="0053313A" w:rsidP="001F21D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Доход по депозиту гражданина Б составил</w:t>
      </w:r>
    </w:p>
    <w:p w:rsidR="0053313A" w:rsidRPr="004C3F24" w:rsidRDefault="0053313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 xml:space="preserve">1000*12%*90/365*100=29,59 долл. </w:t>
      </w:r>
    </w:p>
    <w:p w:rsidR="0053313A" w:rsidRPr="004C3F24" w:rsidRDefault="0053313A" w:rsidP="001F2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1000+29,59=1029,59</w:t>
      </w:r>
    </w:p>
    <w:p w:rsidR="0053313A" w:rsidRPr="004C3F24" w:rsidRDefault="0053313A" w:rsidP="001F21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1029,59*29,3=30 166,99 руб.</w:t>
      </w:r>
    </w:p>
    <w:p w:rsidR="0053313A" w:rsidRDefault="0053313A" w:rsidP="001F21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F24">
        <w:rPr>
          <w:rFonts w:ascii="Times New Roman" w:hAnsi="Times New Roman" w:cs="Times New Roman"/>
          <w:sz w:val="28"/>
          <w:szCs w:val="28"/>
        </w:rPr>
        <w:t>Т.о. гражданин А по истечении 3 х месяцев получит сумму 27676,16 руб,</w:t>
      </w:r>
      <w:r w:rsidR="00447E5A" w:rsidRPr="004C3F24">
        <w:rPr>
          <w:rFonts w:ascii="Times New Roman" w:hAnsi="Times New Roman" w:cs="Times New Roman"/>
          <w:sz w:val="28"/>
          <w:szCs w:val="28"/>
        </w:rPr>
        <w:t xml:space="preserve"> его доход составил 1176,16руб. Г</w:t>
      </w:r>
      <w:r w:rsidRPr="004C3F24">
        <w:rPr>
          <w:rFonts w:ascii="Times New Roman" w:hAnsi="Times New Roman" w:cs="Times New Roman"/>
          <w:sz w:val="28"/>
          <w:szCs w:val="28"/>
        </w:rPr>
        <w:t xml:space="preserve">ражданин Б </w:t>
      </w:r>
      <w:r w:rsidR="00447E5A" w:rsidRPr="004C3F24">
        <w:rPr>
          <w:rFonts w:ascii="Times New Roman" w:hAnsi="Times New Roman" w:cs="Times New Roman"/>
          <w:sz w:val="28"/>
          <w:szCs w:val="28"/>
        </w:rPr>
        <w:t>вкладывал 1000$(26</w:t>
      </w:r>
      <w:r w:rsidR="00447E5A" w:rsidRPr="004C3F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47E5A" w:rsidRPr="004C3F24">
        <w:rPr>
          <w:rFonts w:ascii="Times New Roman" w:hAnsi="Times New Roman" w:cs="Times New Roman"/>
          <w:sz w:val="28"/>
          <w:szCs w:val="28"/>
        </w:rPr>
        <w:t>300руб) получил через три месяца 1029,59 $</w:t>
      </w:r>
      <w:r w:rsidRPr="004C3F24">
        <w:rPr>
          <w:rFonts w:ascii="Times New Roman" w:hAnsi="Times New Roman" w:cs="Times New Roman"/>
          <w:sz w:val="28"/>
          <w:szCs w:val="28"/>
        </w:rPr>
        <w:t xml:space="preserve"> (30 166,99 руб),следовательно гр.Б получит</w:t>
      </w:r>
      <w:r w:rsidR="00447E5A" w:rsidRPr="004C3F24">
        <w:rPr>
          <w:rFonts w:ascii="Times New Roman" w:hAnsi="Times New Roman" w:cs="Times New Roman"/>
          <w:sz w:val="28"/>
          <w:szCs w:val="28"/>
        </w:rPr>
        <w:t xml:space="preserve"> доход в рублях  3866,99. Это произошло</w:t>
      </w:r>
      <w:r w:rsidRPr="004C3F24">
        <w:rPr>
          <w:rFonts w:ascii="Times New Roman" w:hAnsi="Times New Roman" w:cs="Times New Roman"/>
          <w:sz w:val="28"/>
          <w:szCs w:val="28"/>
        </w:rPr>
        <w:t xml:space="preserve"> за счет повышения курса доллара</w:t>
      </w:r>
    </w:p>
    <w:p w:rsidR="001F21D5" w:rsidRDefault="001F21D5" w:rsidP="001F21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3CC" w:rsidRDefault="00AC13CC" w:rsidP="001F21D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</w:t>
      </w:r>
    </w:p>
    <w:p w:rsidR="00AC13CC" w:rsidRPr="00234F60" w:rsidRDefault="00AC13CC" w:rsidP="001F21D5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4F60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 декабря 2009 г. № 395-1 «О банках и банковской деятельности» (с изменениями и дополнениями).</w:t>
      </w:r>
    </w:p>
    <w:p w:rsidR="00AC13CC" w:rsidRPr="00234F60" w:rsidRDefault="00AC13CC" w:rsidP="001F21D5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4F60">
        <w:rPr>
          <w:rFonts w:ascii="Times New Roman" w:hAnsi="Times New Roman" w:cs="Times New Roman"/>
          <w:color w:val="000000"/>
          <w:sz w:val="28"/>
          <w:szCs w:val="28"/>
        </w:rPr>
        <w:t>Положение Банка России от 5 декабря 2002 г. №205-П «О правилах ведения бухгалтерского учета в кредитных организациях, расположенных на территории Российской Федерации» (в редакции от 20 июня 2006 г).</w:t>
      </w:r>
    </w:p>
    <w:p w:rsidR="00AC13CC" w:rsidRPr="00234F60" w:rsidRDefault="00AC13CC" w:rsidP="001F21D5">
      <w:pPr>
        <w:numPr>
          <w:ilvl w:val="0"/>
          <w:numId w:val="2"/>
        </w:numPr>
        <w:tabs>
          <w:tab w:val="num" w:pos="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4F60">
        <w:rPr>
          <w:rFonts w:ascii="Times New Roman" w:hAnsi="Times New Roman" w:cs="Times New Roman"/>
          <w:color w:val="000000"/>
          <w:sz w:val="28"/>
          <w:szCs w:val="28"/>
        </w:rPr>
        <w:t>План счетов бухгалтерского учета в кредитных организациях №302-П (с изменениями, вступившими в силу 01.01.2011)</w:t>
      </w:r>
    </w:p>
    <w:p w:rsidR="00AC13CC" w:rsidRPr="00234F60" w:rsidRDefault="00AC13CC" w:rsidP="001F21D5">
      <w:pPr>
        <w:numPr>
          <w:ilvl w:val="0"/>
          <w:numId w:val="2"/>
        </w:numPr>
        <w:tabs>
          <w:tab w:val="num" w:pos="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4F60">
        <w:rPr>
          <w:rFonts w:ascii="Times New Roman" w:hAnsi="Times New Roman" w:cs="Times New Roman"/>
          <w:color w:val="000000"/>
          <w:sz w:val="28"/>
          <w:szCs w:val="28"/>
        </w:rPr>
        <w:t>Указание Банка России № 1270-У от 14 апреля 2003 года «О публикуемой отчетности кредитных организаций и банковских/консолидированных групп».</w:t>
      </w:r>
    </w:p>
    <w:p w:rsidR="00AC13CC" w:rsidRPr="00234F60" w:rsidRDefault="00AC13CC" w:rsidP="001F21D5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4F60">
        <w:rPr>
          <w:rFonts w:ascii="Times New Roman" w:hAnsi="Times New Roman" w:cs="Times New Roman"/>
          <w:sz w:val="28"/>
          <w:szCs w:val="28"/>
        </w:rPr>
        <w:t>Организация и бухгалтерский учет банковских операций. Банк В.Р., Семенов С.К. Издательство: "Финансы и статистика", 2010</w:t>
      </w:r>
    </w:p>
    <w:p w:rsidR="00AC13CC" w:rsidRPr="00234F60" w:rsidRDefault="00AC13CC" w:rsidP="001F21D5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4F60">
        <w:rPr>
          <w:rFonts w:ascii="Times New Roman" w:hAnsi="Times New Roman" w:cs="Times New Roman"/>
          <w:sz w:val="28"/>
          <w:szCs w:val="28"/>
        </w:rPr>
        <w:t xml:space="preserve">Бухгалтерский учет в коммерческих банках. Л.В. Усатова, М.С. Сероштан, Е.В. Арская. М.: Издательско-торговая корпорация «Дашков и </w:t>
      </w:r>
      <w:r w:rsidRPr="00234F60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3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5pt" o:ole="">
            <v:imagedata r:id="rId7" o:title=""/>
          </v:shape>
          <o:OLEObject Type="Embed" ProgID="Equation.3" ShapeID="_x0000_i1025" DrawAspect="Content" ObjectID="_1472367357" r:id="rId8"/>
        </w:object>
      </w:r>
      <w:r w:rsidRPr="00234F60">
        <w:rPr>
          <w:rFonts w:ascii="Times New Roman" w:hAnsi="Times New Roman" w:cs="Times New Roman"/>
          <w:sz w:val="28"/>
          <w:szCs w:val="28"/>
        </w:rPr>
        <w:t>», 2012 (второе издание, переработанное и дополненное).</w:t>
      </w:r>
    </w:p>
    <w:p w:rsidR="00AC13CC" w:rsidRPr="00234F60" w:rsidRDefault="00AC13CC" w:rsidP="001F21D5">
      <w:pPr>
        <w:pStyle w:val="a7"/>
        <w:numPr>
          <w:ilvl w:val="0"/>
          <w:numId w:val="2"/>
        </w:numPr>
        <w:tabs>
          <w:tab w:val="left" w:pos="284"/>
          <w:tab w:val="left" w:pos="360"/>
        </w:tabs>
        <w:ind w:left="0" w:firstLine="0"/>
      </w:pPr>
      <w:r w:rsidRPr="00234F60">
        <w:t xml:space="preserve">Смирнова Л.Р. </w:t>
      </w:r>
      <w:r w:rsidR="00234F60" w:rsidRPr="00234F60">
        <w:t>Бухгалтерский учет</w:t>
      </w:r>
      <w:r w:rsidRPr="00234F60">
        <w:t xml:space="preserve"> в коммерческих банках. – М.: Финансы и статистика, 2011.</w:t>
      </w:r>
    </w:p>
    <w:p w:rsidR="00AC13CC" w:rsidRPr="00234F60" w:rsidRDefault="00AC13CC" w:rsidP="001F21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F60">
        <w:rPr>
          <w:rFonts w:ascii="Times New Roman" w:hAnsi="Times New Roman" w:cs="Times New Roman"/>
          <w:sz w:val="28"/>
          <w:szCs w:val="28"/>
        </w:rPr>
        <w:t>Интернет-репозиторий образовательных ресурсов http://repository.vzfei.ru/</w:t>
      </w:r>
    </w:p>
    <w:p w:rsidR="00AC13CC" w:rsidRPr="00234F60" w:rsidRDefault="00AC13CC" w:rsidP="001F21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F60">
        <w:rPr>
          <w:rFonts w:ascii="Times New Roman" w:hAnsi="Times New Roman" w:cs="Times New Roman"/>
          <w:sz w:val="28"/>
          <w:szCs w:val="28"/>
        </w:rPr>
        <w:t>Маркетинг сферы услуг: Учебное пособие / С.Н. Диянова, А.Э. Штезель. - М.: Магистр: НИЦ Инфра-М, 2012. - 192 с.</w:t>
      </w:r>
    </w:p>
    <w:p w:rsidR="00AC13CC" w:rsidRPr="00234F60" w:rsidRDefault="00AC13CC" w:rsidP="001F21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F60">
        <w:rPr>
          <w:rFonts w:ascii="Times New Roman" w:hAnsi="Times New Roman" w:cs="Times New Roman"/>
          <w:sz w:val="28"/>
          <w:szCs w:val="28"/>
        </w:rPr>
        <w:t>Учет и операционная техника в банках. Практикум: Учебное пособие для вузов / В.К. Немчинов, А.В. Рогозенков. - 2-e изд., перераб. и доп. - М.: Вузовский учебник: ИНФРА-М, 2012. - 299 с</w:t>
      </w:r>
    </w:p>
    <w:p w:rsidR="00AC13CC" w:rsidRPr="00234F60" w:rsidRDefault="00AC13CC" w:rsidP="001F21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F60">
        <w:rPr>
          <w:rFonts w:ascii="Times New Roman" w:hAnsi="Times New Roman" w:cs="Times New Roman"/>
          <w:sz w:val="28"/>
          <w:szCs w:val="28"/>
        </w:rPr>
        <w:t>Типология банковских инноваций. Викулов В.С // Финансовый менеджмент. ― 2012. ― № 6. – С 12-19</w:t>
      </w:r>
    </w:p>
    <w:p w:rsidR="00AC13CC" w:rsidRPr="00234F60" w:rsidRDefault="00AC13CC" w:rsidP="001F21D5">
      <w:pPr>
        <w:numPr>
          <w:ilvl w:val="0"/>
          <w:numId w:val="2"/>
        </w:numPr>
        <w:spacing w:after="0" w:line="360" w:lineRule="auto"/>
        <w:jc w:val="both"/>
        <w:rPr>
          <w:rStyle w:val="apple-converted-space"/>
          <w:rFonts w:ascii="Times New Roman" w:hAnsi="Times New Roman" w:cs="Times New Roman"/>
        </w:rPr>
      </w:pPr>
      <w:r w:rsidRPr="00234F60">
        <w:rPr>
          <w:rFonts w:ascii="Times New Roman" w:hAnsi="Times New Roman" w:cs="Times New Roman"/>
          <w:bCs/>
          <w:sz w:val="28"/>
          <w:szCs w:val="28"/>
        </w:rPr>
        <w:t>Электронно-библиотечная система:</w:t>
      </w:r>
      <w:r w:rsidRPr="00234F60">
        <w:rPr>
          <w:rFonts w:ascii="Times New Roman" w:hAnsi="Times New Roman" w:cs="Times New Roman"/>
          <w:sz w:val="28"/>
          <w:szCs w:val="28"/>
        </w:rPr>
        <w:t xml:space="preserve"> </w:t>
      </w:r>
      <w:r w:rsidRPr="00234F60">
        <w:rPr>
          <w:rFonts w:ascii="Times New Roman" w:hAnsi="Times New Roman" w:cs="Times New Roman"/>
          <w:bCs/>
          <w:sz w:val="28"/>
          <w:szCs w:val="28"/>
        </w:rPr>
        <w:t>http://znanium.com/index.php</w:t>
      </w:r>
      <w:r w:rsidR="00C24289">
        <w:rPr>
          <w:rFonts w:ascii="Times New Roman" w:hAnsi="Times New Roman" w:cs="Times New Roman"/>
          <w:bCs/>
          <w:sz w:val="28"/>
          <w:szCs w:val="28"/>
        </w:rPr>
        <w:t>.</w:t>
      </w:r>
    </w:p>
    <w:p w:rsidR="00AC13CC" w:rsidRDefault="00AC13CC" w:rsidP="001F21D5">
      <w:pPr>
        <w:pStyle w:val="a7"/>
        <w:tabs>
          <w:tab w:val="left" w:pos="284"/>
          <w:tab w:val="left" w:pos="360"/>
        </w:tabs>
        <w:ind w:firstLine="0"/>
      </w:pPr>
    </w:p>
    <w:sectPr w:rsidR="00AC13CC" w:rsidSect="004C3F24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F34" w:rsidRDefault="00603F34" w:rsidP="004C3F24">
      <w:pPr>
        <w:spacing w:after="0" w:line="240" w:lineRule="auto"/>
      </w:pPr>
      <w:r>
        <w:separator/>
      </w:r>
    </w:p>
  </w:endnote>
  <w:endnote w:type="continuationSeparator" w:id="0">
    <w:p w:rsidR="00603F34" w:rsidRDefault="00603F34" w:rsidP="004C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2045724"/>
      <w:docPartObj>
        <w:docPartGallery w:val="Page Numbers (Bottom of Page)"/>
        <w:docPartUnique/>
      </w:docPartObj>
    </w:sdtPr>
    <w:sdtEndPr/>
    <w:sdtContent>
      <w:p w:rsidR="004C3F24" w:rsidRDefault="004C3F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1D5">
          <w:rPr>
            <w:noProof/>
          </w:rPr>
          <w:t>11</w:t>
        </w:r>
        <w:r>
          <w:fldChar w:fldCharType="end"/>
        </w:r>
      </w:p>
    </w:sdtContent>
  </w:sdt>
  <w:p w:rsidR="004C3F24" w:rsidRDefault="004C3F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F34" w:rsidRDefault="00603F34" w:rsidP="004C3F24">
      <w:pPr>
        <w:spacing w:after="0" w:line="240" w:lineRule="auto"/>
      </w:pPr>
      <w:r>
        <w:separator/>
      </w:r>
    </w:p>
  </w:footnote>
  <w:footnote w:type="continuationSeparator" w:id="0">
    <w:p w:rsidR="00603F34" w:rsidRDefault="00603F34" w:rsidP="004C3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8408C"/>
    <w:multiLevelType w:val="hybridMultilevel"/>
    <w:tmpl w:val="BBFAD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F762D3"/>
    <w:multiLevelType w:val="hybridMultilevel"/>
    <w:tmpl w:val="1B968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3C5A0B"/>
    <w:multiLevelType w:val="hybridMultilevel"/>
    <w:tmpl w:val="233860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3A"/>
    <w:rsid w:val="001C5611"/>
    <w:rsid w:val="001F21D5"/>
    <w:rsid w:val="00234F60"/>
    <w:rsid w:val="00445731"/>
    <w:rsid w:val="00447E5A"/>
    <w:rsid w:val="004C3F24"/>
    <w:rsid w:val="0053313A"/>
    <w:rsid w:val="00603F34"/>
    <w:rsid w:val="008B21FD"/>
    <w:rsid w:val="00A34AFC"/>
    <w:rsid w:val="00A37792"/>
    <w:rsid w:val="00AC13CC"/>
    <w:rsid w:val="00C24289"/>
    <w:rsid w:val="00C73188"/>
    <w:rsid w:val="00C74E37"/>
    <w:rsid w:val="00ED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AF483-C76E-4837-8C0E-B96152EC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3F24"/>
  </w:style>
  <w:style w:type="paragraph" w:styleId="a5">
    <w:name w:val="footer"/>
    <w:basedOn w:val="a"/>
    <w:link w:val="a6"/>
    <w:uiPriority w:val="99"/>
    <w:unhideWhenUsed/>
    <w:rsid w:val="004C3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3F24"/>
  </w:style>
  <w:style w:type="paragraph" w:styleId="a7">
    <w:name w:val="Body Text Indent"/>
    <w:basedOn w:val="a"/>
    <w:link w:val="a8"/>
    <w:semiHidden/>
    <w:unhideWhenUsed/>
    <w:rsid w:val="00AC13C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AC13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AC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8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1826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</cp:lastModifiedBy>
  <cp:revision>8</cp:revision>
  <dcterms:created xsi:type="dcterms:W3CDTF">2014-09-12T10:38:00Z</dcterms:created>
  <dcterms:modified xsi:type="dcterms:W3CDTF">2014-09-16T06:10:00Z</dcterms:modified>
</cp:coreProperties>
</file>