
<file path=[Content_Types].xml><?xml version="1.0" encoding="utf-8"?>
<Types xmlns="http://schemas.openxmlformats.org/package/2006/content-types">
  <Default Extension="rels" ContentType="application/vnd.openxmlformats-package.relationships+xml"/>
  <Default Extension="bin" ContentType="application/vnd.openxmlformats-officedocument.oleObject"/>
  <Default Extension="wmf" ContentType="image/x-wmf"/>
  <Default Extension="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Введение.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Полное наименование организации - открытое акционерное общество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Отраслевая принадлежность - промышленное производство.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Направление деятельности - производство и продажа медицинского оборудования, товаров народного потребления, автокомпонентов и авионики.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Уплотненный баланс и анализ валюты баланса.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Уплотненный баланс ОАО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2011 год.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9941" w:dyaOrig="8666">
          <v:rect xmlns:o="urn:schemas-microsoft-com:office:office" xmlns:v="urn:schemas-microsoft-com:vml" id="rectole0000000000" style="width:497.050000pt;height:433.3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DrawAspect="Content" ObjectID="0000000000" ShapeID="rectole0000000000" r:id="docRId0"/>
        </w:objec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Выводы: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Активы баланса на конец года увеличились по сравнению с началом года.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Имеются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больные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статьи баланса такие, как дебиторская и кредиторская задолженность.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Имеется долгосрочная дебиторская задолженность, которая увеличилась на конец года. 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Доля собственного капитала предприятия (н. г. - 744522, к. г.- 829917) больше заемного (н.г.- 365459, к.г.- 467019)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Предприятие работает прибыльно, собственный капитал в 2,5 раза больше внеоборотных активов.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240" w:after="6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Сравнительный аналитический баланс.</w:t>
      </w:r>
    </w:p>
    <w:p>
      <w:pPr>
        <w:tabs>
          <w:tab w:val="right" w:pos="9921" w:leader="none"/>
        </w:tabs>
        <w:spacing w:before="0" w:after="200" w:line="60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Сравнительный аналитический баланс ОАО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2011 год.</w:t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10731" w:dyaOrig="5629">
          <v:rect xmlns:o="urn:schemas-microsoft-com:office:office" xmlns:v="urn:schemas-microsoft-com:vml" id="rectole0000000001" style="width:536.550000pt;height:281.4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DrawAspect="Content" ObjectID="0000000001" ShapeID="rectole0000000001" r:id="docRId2"/>
        </w:object>
      </w:r>
    </w:p>
    <w:p>
      <w:pPr>
        <w:tabs>
          <w:tab w:val="left" w:pos="3975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Выводы: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Внеоборотные активы предприятия за год увеличились на 59521 т.р. или на 17,93%, удельный вес возрос на 0,28%.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Оборотные активы за год возросли на 127434 т.р. или на 16,38%, удельный вес уменьшился на 0,28%.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Запасы за год увеличились на 92842 т.р. или на 27,97%, удельный вес возрос на 2,85%.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Дебиторская задолженность за год увеличилась на 111040 т.р. или на 38,36%, удельный вес возрос на 4,8%. 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Денежные средства за год уменьшились на 69292 т.р. или на 47,09%, удельный вес уменьшился на 7,25%.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Капитал и резервы на год увеличились на 853995 т.р. или на 11,47%, удельный вес уменьшился на 3,08%.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Долгосрочные обязательства за год уменьшились на 10797 т.р. или на 40,9%, удельный вес уменьшился на 1,18%.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Краткосрочные обязательства за год возросли на 112357 т.р. или на 33,14%, удельный вес возрос на 4,26%.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Кредиторская задолженность за год увеличилась на 112320 т.р. или на 33,2%, удельный вес возрос на 4,27%.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Запасы  и дебиторская задолженность относятся к наиболее возросшим показателям баланса.</w:t>
      </w: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709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75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</w:r>
    </w:p>
    <w:p>
      <w:pPr>
        <w:tabs>
          <w:tab w:val="left" w:pos="1245" w:leader="none"/>
        </w:tabs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</w:r>
    </w:p>
    <w:p>
      <w:pPr>
        <w:spacing w:before="0" w:after="0" w:line="36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240" w:after="6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Состав, структура и динамика активов.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Анализ структуры и состава активов ОАО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2011 год.</w: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10852" w:dyaOrig="6114">
          <v:rect xmlns:o="urn:schemas-microsoft-com:office:office" xmlns:v="urn:schemas-microsoft-com:vml" id="rectole0000000002" style="width:542.600000pt;height:305.7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DrawAspect="Content" ObjectID="0000000002" ShapeID="rectole0000000002" r:id="docRId4"/>
        </w:object>
      </w:r>
    </w:p>
    <w:p>
      <w:pPr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Выводы: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Анализ состава и структуры активов баланса показывает, что удельный вес оборотных активов значительного больше, чем удельный вес внеоборотных активов. Это говорит о высоком уровне эффективности работы предприятия и о расширении его основной деятельности.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Незначительное увеличение запасов может свидетельствовать о спаде активности предприятия.</w:t>
      </w:r>
    </w:p>
    <w:p>
      <w:pPr>
        <w:spacing w:before="0" w:after="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Увеличение дебиторской задолженности говорит о неосмотрительной кредитной политике предприятия по отношению к покупателям, об увеличении объемов продаж или неплатежеспособности и банкротстве части покупателей.</w:t>
      </w: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240" w:after="60" w:line="36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4.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Анализ основных средств организации.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Для анализа оборотных средств организации применяют коэффициенты:</w:t>
      </w:r>
    </w:p>
    <w:p>
      <w:pPr>
        <w:numPr>
          <w:ilvl w:val="0"/>
          <w:numId w:val="24"/>
        </w:numPr>
        <w:spacing w:before="0" w:after="0" w:line="360"/>
        <w:ind w:right="0" w:left="357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Коэффициент обновления основных производственных фондов:</w:t>
      </w:r>
    </w:p>
    <w:p>
      <w:pPr>
        <w:spacing w:before="0" w:after="0" w:line="360"/>
        <w:ind w:right="0" w:left="357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bscript"/>
        </w:rPr>
        <w:t xml:space="preserve">обн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= Стоимость поступивших ОПФ/Стоимость ОПФ на к. г. = (367077- 266327)/ 367077=0,274</w:t>
      </w:r>
    </w:p>
    <w:p>
      <w:pPr>
        <w:numPr>
          <w:ilvl w:val="0"/>
          <w:numId w:val="26"/>
        </w:numPr>
        <w:spacing w:before="0" w:after="0" w:line="36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Срок обновления ОПФ:</w:t>
      </w:r>
    </w:p>
    <w:p>
      <w:pPr>
        <w:spacing w:before="0" w:after="0" w:line="36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bscript"/>
        </w:rPr>
        <w:t xml:space="preserve">обн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Стоимость ОПФ на н. г./ Стоимость поступивших ОПФ = 266327/(367077- 266327)= 3 дня</w:t>
      </w:r>
    </w:p>
    <w:p>
      <w:pPr>
        <w:numPr>
          <w:ilvl w:val="0"/>
          <w:numId w:val="28"/>
        </w:numPr>
        <w:spacing w:before="0" w:after="0" w:line="36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Коэффициент выбытия ОПФ:</w:t>
      </w:r>
    </w:p>
    <w:p>
      <w:pPr>
        <w:spacing w:before="0" w:after="0" w:line="36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bscript"/>
        </w:rPr>
        <w:t xml:space="preserve">выб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Стоимость выбывших ОПФ/ Стоимость ОПФ на н. г.=7713/266327=0,029</w:t>
      </w:r>
    </w:p>
    <w:p>
      <w:pPr>
        <w:numPr>
          <w:ilvl w:val="0"/>
          <w:numId w:val="30"/>
        </w:numPr>
        <w:spacing w:before="0" w:after="0" w:line="36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Коэффициент износа на начало и на конец года:</w:t>
      </w:r>
    </w:p>
    <w:p>
      <w:pPr>
        <w:spacing w:before="0" w:after="0" w:line="36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bscript"/>
        </w:rPr>
        <w:t xml:space="preserve">изн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нг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Сумма износа на н. г./ Стоимость ОПФ на н. г. =438630/266327=1,65</w:t>
      </w:r>
    </w:p>
    <w:p>
      <w:pPr>
        <w:spacing w:before="0" w:after="0" w:line="36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bscript"/>
        </w:rPr>
        <w:t xml:space="preserve">изн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кг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Сумма износа на к. г./ Стоимость ОПФ на к.г. =384495/367007=1,04</w:t>
      </w:r>
    </w:p>
    <w:p>
      <w:pPr>
        <w:numPr>
          <w:ilvl w:val="0"/>
          <w:numId w:val="32"/>
        </w:numPr>
        <w:spacing w:before="0" w:after="0" w:line="36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Коэффициент годности:</w:t>
      </w:r>
    </w:p>
    <w:p>
      <w:pPr>
        <w:spacing w:before="0" w:after="0" w:line="36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bscript"/>
        </w:rPr>
        <w:t xml:space="preserve">годн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нг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1- 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bscript"/>
        </w:rPr>
        <w:t xml:space="preserve">изн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нг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-0,65</w:t>
      </w:r>
    </w:p>
    <w:p>
      <w:pPr>
        <w:spacing w:before="0" w:after="0" w:line="36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bscript"/>
        </w:rPr>
        <w:t xml:space="preserve">годн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кг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= 1-К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bscript"/>
        </w:rPr>
        <w:t xml:space="preserve">изн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  <w:vertAlign w:val="superscript"/>
        </w:rPr>
        <w:t xml:space="preserve">кг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= -0,04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240" w:after="6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Анализ оборачиваемости оборотных активов организации.</w: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Показатели оборачиваемости оборотных средств ОАО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2011 год.</w: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8483" w:dyaOrig="5466">
          <v:rect xmlns:o="urn:schemas-microsoft-com:office:office" xmlns:v="urn:schemas-microsoft-com:vml" id="rectole0000000003" style="width:424.150000pt;height:273.30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DrawAspect="Content" ObjectID="0000000003" ShapeID="rectole0000000003" r:id="docRId6"/>
        </w:objec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Выводы: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Выручка от продажи продукции и среднегодовая величина оборотных средств за год возросли.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Коэффициент оборачиваемости оборотных средств за год увеличился, что говорит о финансовой эффективности работы предприятия.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Длительность одного оборота уменьшилась, что свидетельствует об увеличении оборачиваемости оборотных средств и объемов реализации.</w:t>
      </w:r>
    </w:p>
    <w:p>
      <w:pPr>
        <w:spacing w:before="0" w:after="200" w:line="360"/>
        <w:ind w:right="0" w:left="0" w:firstLine="709"/>
        <w:jc w:val="both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Коэффициент закрепления оборотных средств уменьшился, что говорит об уменьшении оборотных средств, которые необходимы для производства на 1 рубль реализованной продукции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 </w:t>
      </w: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Расчет показателей оборачиваемости ОАО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2011 год.</w: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9536" w:dyaOrig="12370">
          <v:rect xmlns:o="urn:schemas-microsoft-com:office:office" xmlns:v="urn:schemas-microsoft-com:vml" id="rectole0000000004" style="width:476.800000pt;height:618.50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DrawAspect="Content" ObjectID="0000000004" ShapeID="rectole0000000004" r:id="docRId8"/>
        </w:objec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Выводы: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Деловая активность коммерческой организации измеряется с помощью системы количественных и качественных показателей. Анализ деловой активности заключается в исследовании уровней и динамики финансовых коэффициентов оборачиваемости. Эта группа коэффициентов позволяет проанализировать, насколько эффективно предприятие использует свои средства.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Предприятие не использует краткосрочных финансовых вложений, это говорит о том, что организация в отчетном году не имела возможности вложить свободные денежные средства в данный вид оборотных активов, также сами денежные средства уменьшились.</w:t>
      </w: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240" w:after="6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Состав, структура и динамика пассивов.</w: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Анализ структуры и состава пассивов ОАО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2011 год.</w: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9799" w:dyaOrig="7957">
          <v:rect xmlns:o="urn:schemas-microsoft-com:office:office" xmlns:v="urn:schemas-microsoft-com:vml" id="rectole0000000005" style="width:489.950000pt;height:397.850000pt" o:preferrelative="t" o:ole="">
            <o:lock v:ext="edit"/>
            <v:imagedata xmlns:r="http://schemas.openxmlformats.org/officeDocument/2006/relationships" r:id="docRId11" o:title=""/>
          </v:rect>
          <o:OLEObject xmlns:r="http://schemas.openxmlformats.org/officeDocument/2006/relationships" xmlns:o="urn:schemas-microsoft-com:office:office" Type="Embed" DrawAspect="Content" ObjectID="0000000005" ShapeID="rectole0000000005" r:id="docRId10"/>
        </w:objec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Выводы: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 анализа структуры и состава пассивов баланса видно, что удельный вес собственных источников финансирования значительно превышает удельный вес заемного капитала, что показывает степень финансовой независимости компании от кредиторов. Это является важной характеристикой устойчивости предприятия.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Уменьшение удельного веса нераспределенной прибыли говорит об её использовании в качестве финансового обеспечения производственного развития организации.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240" w:after="6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Анализ ликвидности баланса.</w:t>
      </w:r>
    </w:p>
    <w:p>
      <w:pPr>
        <w:spacing w:before="0" w:after="200" w:line="48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Анализ ликвидности баланса ОАО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2011 год.</w:t>
      </w:r>
    </w:p>
    <w:p>
      <w:pPr>
        <w:spacing w:before="0" w:after="200" w:line="48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8402" w:dyaOrig="2288">
          <v:rect xmlns:o="urn:schemas-microsoft-com:office:office" xmlns:v="urn:schemas-microsoft-com:vml" id="rectole0000000006" style="width:420.100000pt;height:114.400000pt" o:preferrelative="t" o:ole="">
            <o:lock v:ext="edit"/>
            <v:imagedata xmlns:r="http://schemas.openxmlformats.org/officeDocument/2006/relationships" r:id="docRId13" o:title=""/>
          </v:rect>
          <o:OLEObject xmlns:r="http://schemas.openxmlformats.org/officeDocument/2006/relationships" xmlns:o="urn:schemas-microsoft-com:office:office" Type="Embed" DrawAspect="Content" ObjectID="0000000006" ShapeID="rectole0000000006" r:id="docRId12"/>
        </w:object>
      </w:r>
    </w:p>
    <w:p>
      <w:pPr>
        <w:spacing w:before="0" w:after="20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Выводы: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Исходя из данных таблицы, баланс является в меньшей не ликвидным. Это обусловлено тем, что труднореализуемые активы – А4 меньше постоянных пассивов – П4, но наиболее ликвидные активы – А1 меньше кредиторской задолженности  – П1. Из этого можно сделать вывод, что предприятие не обладает таким количеством денежных средств, которое может быть немедленно использовано  для выполнения текущих расчетов.</w:t>
      </w:r>
    </w:p>
    <w:p>
      <w:pPr>
        <w:spacing w:before="0" w:after="200" w:line="48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48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48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48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48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48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48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48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240" w:after="60" w:line="36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Анализ финансовой устойчивости организации.</w:t>
      </w:r>
    </w:p>
    <w:p>
      <w:pPr>
        <w:spacing w:before="0" w:after="200" w:line="48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Абсолютные показатели финансовой устойчивости ОАО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2011 год.</w:t>
      </w:r>
    </w:p>
    <w:p>
      <w:pPr>
        <w:spacing w:before="0" w:after="200" w:line="48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7714" w:dyaOrig="6499">
          <v:rect xmlns:o="urn:schemas-microsoft-com:office:office" xmlns:v="urn:schemas-microsoft-com:vml" id="rectole0000000007" style="width:385.700000pt;height:324.950000pt" o:preferrelative="t" o:ole="">
            <o:lock v:ext="edit"/>
            <v:imagedata xmlns:r="http://schemas.openxmlformats.org/officeDocument/2006/relationships" r:id="docRId15" o:title=""/>
          </v:rect>
          <o:OLEObject xmlns:r="http://schemas.openxmlformats.org/officeDocument/2006/relationships" xmlns:o="urn:schemas-microsoft-com:office:office" Type="Embed" DrawAspect="Content" ObjectID="0000000007" ShapeID="rectole0000000007" r:id="docRId14"/>
        </w:objec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Выводы: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Содержание финансовой устойчивости характеризуют эффективным формированием и использованием денежных ресурсов. Предприятие способно развиваться преимущественно за счет собственных источников финансирования при сохранении достаточной платежеспособности.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 использование организацией заемных средств, говорит о финансовой независимости и хорошем положении на предприятии.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Относительные показатели финансовой устойчивости ОАО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 2011 год.</w: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9819" w:dyaOrig="4049">
          <v:rect xmlns:o="urn:schemas-microsoft-com:office:office" xmlns:v="urn:schemas-microsoft-com:vml" id="rectole0000000008" style="width:490.950000pt;height:202.450000pt" o:preferrelative="t" o:ole="">
            <o:lock v:ext="edit"/>
            <v:imagedata xmlns:r="http://schemas.openxmlformats.org/officeDocument/2006/relationships" r:id="docRId17" o:title=""/>
          </v:rect>
          <o:OLEObject xmlns:r="http://schemas.openxmlformats.org/officeDocument/2006/relationships" xmlns:o="urn:schemas-microsoft-com:office:office" Type="Embed" DrawAspect="Content" ObjectID="0000000008" ShapeID="rectole0000000008" r:id="docRId16"/>
        </w:object>
      </w:r>
    </w:p>
    <w:p>
      <w:pPr>
        <w:spacing w:before="0" w:after="200" w:line="36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Выводы: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Исходя из результатов расчета, можно сделать вывод, что коэффициент автономии, коэффициент финансовой устойчивости, коэффициент финансирования и коэффициент финансовой активности находятся в рамках рекомендованного значения. Эти коэффициенты показывают, что предприятие финансово независимо и имеет большую долю собственного капитала.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Выводы по анализу бухгалтерского баланса ОАО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Утёс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за 2011 год.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Анализ бухгалтерского баланса показывает, что организация работает прибыльно, так как собственный капитал в 2,5 раза больше внеоборотных активов. Кроме того, предприятие не использует заемные средства, что говорит о финансовой независимости и устойчивости. Организация увеличивает оборачиваемость оборотных средств, что в свою очередь повышает объемы реализации продукции. </w:t>
      </w:r>
    </w:p>
    <w:p>
      <w:pPr>
        <w:spacing w:before="0" w:after="200" w:line="36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Предприятие находится в нормальной финансовой устойчивости.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num w:numId="24">
    <w:abstractNumId w:val="24"/>
  </w:num>
  <w:num w:numId="26">
    <w:abstractNumId w:val="18"/>
  </w:num>
  <w:num w:numId="28">
    <w:abstractNumId w:val="12"/>
  </w:num>
  <w:num w:numId="30">
    <w:abstractNumId w:val="6"/>
  </w:num>
  <w:num w:numId="3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8.wmf" Id="docRId17" Type="http://schemas.openxmlformats.org/officeDocument/2006/relationships/image"/><Relationship Target="media/image3.wmf" Id="docRId7" Type="http://schemas.openxmlformats.org/officeDocument/2006/relationships/image"/><Relationship Target="embeddings/oleObject5.bin" Id="docRId10" Type="http://schemas.openxmlformats.org/officeDocument/2006/relationships/oleObject"/><Relationship Target="embeddings/oleObject7.bin" Id="docRId14" Type="http://schemas.openxmlformats.org/officeDocument/2006/relationships/oleObject"/><Relationship Target="numbering.xml" Id="docRId18" Type="http://schemas.openxmlformats.org/officeDocument/2006/relationships/numbering"/><Relationship Target="embeddings/oleObject1.bin" Id="docRId2" Type="http://schemas.openxmlformats.org/officeDocument/2006/relationships/oleObject"/><Relationship Target="embeddings/oleObject3.bin" Id="docRId6" Type="http://schemas.openxmlformats.org/officeDocument/2006/relationships/oleObject"/><Relationship Target="media/image0.wmf" Id="docRId1" Type="http://schemas.openxmlformats.org/officeDocument/2006/relationships/image"/><Relationship Target="media/image5.wmf" Id="docRId11" Type="http://schemas.openxmlformats.org/officeDocument/2006/relationships/image"/><Relationship Target="media/image7.wmf" Id="docRId15" Type="http://schemas.openxmlformats.org/officeDocument/2006/relationships/image"/><Relationship Target="styles.xml" Id="docRId19" Type="http://schemas.openxmlformats.org/officeDocument/2006/relationships/styles"/><Relationship Target="media/image2.wmf" Id="docRId5" Type="http://schemas.openxmlformats.org/officeDocument/2006/relationships/image"/><Relationship Target="media/image4.wmf" Id="docRId9" Type="http://schemas.openxmlformats.org/officeDocument/2006/relationships/image"/><Relationship Target="embeddings/oleObject0.bin" Id="docRId0" Type="http://schemas.openxmlformats.org/officeDocument/2006/relationships/oleObject"/><Relationship Target="embeddings/oleObject6.bin" Id="docRId12" Type="http://schemas.openxmlformats.org/officeDocument/2006/relationships/oleObject"/><Relationship Target="embeddings/oleObject8.bin" Id="docRId16" Type="http://schemas.openxmlformats.org/officeDocument/2006/relationships/oleObject"/><Relationship Target="embeddings/oleObject2.bin" Id="docRId4" Type="http://schemas.openxmlformats.org/officeDocument/2006/relationships/oleObject"/><Relationship Target="embeddings/oleObject4.bin" Id="docRId8" Type="http://schemas.openxmlformats.org/officeDocument/2006/relationships/oleObject"/><Relationship Target="media/image6.wmf" Id="docRId13" Type="http://schemas.openxmlformats.org/officeDocument/2006/relationships/image"/><Relationship Target="media/image1.wmf" Id="docRId3" Type="http://schemas.openxmlformats.org/officeDocument/2006/relationships/image"/></Relationships>
</file>