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FB" w:rsidRPr="005C072A" w:rsidRDefault="009119FB" w:rsidP="00296D30">
      <w:pPr>
        <w:pStyle w:val="1"/>
        <w:spacing w:line="360" w:lineRule="auto"/>
        <w:rPr>
          <w:noProof/>
          <w:sz w:val="28"/>
          <w:szCs w:val="28"/>
        </w:rPr>
      </w:pPr>
      <w:r>
        <w:rPr>
          <w:noProof/>
          <w:sz w:val="28"/>
          <w:szCs w:val="28"/>
        </w:rPr>
        <w:t>Т</w:t>
      </w:r>
      <w:r w:rsidRPr="005C072A">
        <w:rPr>
          <w:noProof/>
          <w:sz w:val="28"/>
          <w:szCs w:val="28"/>
        </w:rPr>
        <w:t xml:space="preserve">естовые </w:t>
      </w:r>
      <w:r>
        <w:rPr>
          <w:noProof/>
          <w:sz w:val="28"/>
          <w:szCs w:val="28"/>
        </w:rPr>
        <w:t>з</w:t>
      </w:r>
      <w:r w:rsidRPr="005C072A">
        <w:rPr>
          <w:noProof/>
          <w:sz w:val="28"/>
          <w:szCs w:val="28"/>
        </w:rPr>
        <w:t>адания</w:t>
      </w:r>
    </w:p>
    <w:p w:rsidR="009119FB" w:rsidRDefault="009119FB" w:rsidP="009119FB">
      <w:pPr>
        <w:spacing w:line="360" w:lineRule="auto"/>
        <w:rPr>
          <w:noProof/>
          <w:sz w:val="28"/>
          <w:szCs w:val="28"/>
        </w:rPr>
      </w:pP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1. Реальные инвестиции представляют собой: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вложения в реальные активы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вложения реальных активов в объекты инвестирования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прямые вложения в объекты инвестирования</w:t>
      </w:r>
    </w:p>
    <w:p w:rsidR="009119FB" w:rsidRPr="00296D30" w:rsidRDefault="009119FB" w:rsidP="00296D30">
      <w:pPr>
        <w:pStyle w:val="a5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96D30">
        <w:rPr>
          <w:sz w:val="28"/>
          <w:szCs w:val="28"/>
        </w:rPr>
        <w:t>Чистый дисконтированный доход – показатель, основанный на определении: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превышения результатов над затратами с учетом фактора времени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суммы дисконтированных потоков денежных средств от операционной и инвестиционной деятельности</w:t>
      </w:r>
    </w:p>
    <w:p w:rsidR="009119FB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суммы дисконтированных потоков денежных средств от операционной, финансовой и инвестиционной деятельности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1BED">
        <w:rPr>
          <w:sz w:val="28"/>
          <w:szCs w:val="28"/>
        </w:rPr>
        <w:t>. По цели инвестирования выделяют инвестиции: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прямые и портфельные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реальные и финансовые</w:t>
      </w:r>
    </w:p>
    <w:p w:rsidR="009119FB" w:rsidRDefault="009119FB" w:rsidP="009119FB">
      <w:pPr>
        <w:tabs>
          <w:tab w:val="num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внутренние и зарубежные</w:t>
      </w:r>
    </w:p>
    <w:p w:rsidR="009119FB" w:rsidRPr="00FA1BED" w:rsidRDefault="009119FB" w:rsidP="009119FB">
      <w:pPr>
        <w:tabs>
          <w:tab w:val="num" w:pos="7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A1BED">
        <w:rPr>
          <w:sz w:val="28"/>
          <w:szCs w:val="28"/>
        </w:rPr>
        <w:t xml:space="preserve">Ставка доходности акционерного капитала отражает возможный уровень выплаты дивидендов </w:t>
      </w:r>
      <w:proofErr w:type="gramStart"/>
      <w:r w:rsidRPr="00FA1BED">
        <w:rPr>
          <w:sz w:val="28"/>
          <w:szCs w:val="28"/>
        </w:rPr>
        <w:t>на</w:t>
      </w:r>
      <w:proofErr w:type="gramEnd"/>
      <w:r w:rsidRPr="00FA1BED">
        <w:rPr>
          <w:sz w:val="28"/>
          <w:szCs w:val="28"/>
        </w:rPr>
        <w:t>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все акции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привилегированные акции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обыкновенные акции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A1BED">
        <w:rPr>
          <w:sz w:val="28"/>
          <w:szCs w:val="28"/>
        </w:rPr>
        <w:t>. Инвестиционные товары могут существовать: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только в денежной форме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 xml:space="preserve">б) в двух формах: </w:t>
      </w:r>
      <w:proofErr w:type="gramStart"/>
      <w:r w:rsidRPr="00FA1BED">
        <w:rPr>
          <w:sz w:val="28"/>
          <w:szCs w:val="28"/>
        </w:rPr>
        <w:t>денежной</w:t>
      </w:r>
      <w:proofErr w:type="gramEnd"/>
      <w:r w:rsidRPr="00FA1BED">
        <w:rPr>
          <w:sz w:val="28"/>
          <w:szCs w:val="28"/>
        </w:rPr>
        <w:t xml:space="preserve"> и материально-вещественной 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 xml:space="preserve">в) </w:t>
      </w:r>
      <w:r w:rsidRPr="00296D30">
        <w:rPr>
          <w:sz w:val="28"/>
          <w:szCs w:val="28"/>
          <w:highlight w:val="yellow"/>
        </w:rPr>
        <w:t>в трех формах: денежной, материально-вещественной и нематериальной</w:t>
      </w:r>
      <w:r w:rsidRPr="00FA1BED">
        <w:rPr>
          <w:sz w:val="28"/>
          <w:szCs w:val="28"/>
        </w:rPr>
        <w:t xml:space="preserve"> </w:t>
      </w:r>
    </w:p>
    <w:p w:rsidR="009119FB" w:rsidRPr="00FA1BED" w:rsidRDefault="009119FB" w:rsidP="009119FB">
      <w:pPr>
        <w:pStyle w:val="1"/>
        <w:spacing w:line="360" w:lineRule="auto"/>
        <w:ind w:left="86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A1BED">
        <w:rPr>
          <w:sz w:val="28"/>
          <w:szCs w:val="28"/>
        </w:rPr>
        <w:t>Внутренняя норма рентабельности должна быть не ниже ставки процента за кредит. Это утверждение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верно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lastRenderedPageBreak/>
        <w:t>б) неверно</w:t>
      </w:r>
    </w:p>
    <w:p w:rsidR="009119FB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в) верно при использовании для инвестиций кредитных ресурсов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A1BED">
        <w:rPr>
          <w:sz w:val="28"/>
          <w:szCs w:val="28"/>
        </w:rPr>
        <w:t>. Конъюнктура инвестиционного рынка представляет собой: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оживление инвестиционной деятельности.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б) совокупность факторов, определяющих соотношение инвестиционного спроса, предложения, уровня цен, конкуренции и объемов реализации.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форму движения инвестиций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A1BED">
        <w:rPr>
          <w:sz w:val="28"/>
          <w:szCs w:val="28"/>
        </w:rPr>
        <w:t xml:space="preserve">. Необходимость оценки денег во времени при определении эффективности инвестиционных проектов связана </w:t>
      </w:r>
      <w:proofErr w:type="gramStart"/>
      <w:r w:rsidRPr="00FA1BED">
        <w:rPr>
          <w:sz w:val="28"/>
          <w:szCs w:val="28"/>
        </w:rPr>
        <w:t>с</w:t>
      </w:r>
      <w:proofErr w:type="gramEnd"/>
      <w:r w:rsidRPr="00FA1BED">
        <w:rPr>
          <w:sz w:val="28"/>
          <w:szCs w:val="28"/>
        </w:rPr>
        <w:t xml:space="preserve"> 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обесценением денег в результате инфляции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б) обращением денежных средств как капитала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учетом структуры инвестиционных ресурсов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A1BED">
        <w:rPr>
          <w:sz w:val="28"/>
          <w:szCs w:val="28"/>
        </w:rPr>
        <w:t xml:space="preserve">. Наименее рисковыми считаются инвестиции, направленные </w:t>
      </w:r>
      <w:proofErr w:type="gramStart"/>
      <w:r w:rsidRPr="00FA1BED">
        <w:rPr>
          <w:sz w:val="28"/>
          <w:szCs w:val="28"/>
        </w:rPr>
        <w:t>на</w:t>
      </w:r>
      <w:proofErr w:type="gramEnd"/>
      <w:r w:rsidRPr="00FA1BED">
        <w:rPr>
          <w:sz w:val="28"/>
          <w:szCs w:val="28"/>
        </w:rPr>
        <w:t>: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расширение производства,</w:t>
      </w:r>
      <w:r w:rsidRPr="00FA1BED">
        <w:rPr>
          <w:sz w:val="28"/>
          <w:szCs w:val="28"/>
        </w:rPr>
        <w:t xml:space="preserve"> 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б) модернизацию оборудования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в) диверсификацию производства.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FA1BED">
        <w:rPr>
          <w:sz w:val="28"/>
          <w:szCs w:val="28"/>
        </w:rPr>
        <w:t>. Для расчета точки безубыточности нужно знать: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величину общих издержек и массы прибыли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б) постоянные издержки, переменные издержки, объем реализации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прямые, косвенные издержки и объем реализации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A1BED">
        <w:rPr>
          <w:sz w:val="28"/>
          <w:szCs w:val="28"/>
        </w:rPr>
        <w:t>1. Стоимость акционерного капитала как инвестиционного ресурса определяется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путем денежной оценки его величины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б) ожидаемой доходностью акций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временем его оборота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FA1BED">
        <w:rPr>
          <w:sz w:val="28"/>
          <w:szCs w:val="28"/>
        </w:rPr>
        <w:t>. Для оценки доходности акций на основе модели САРМ необходимо в числе других параметров знать: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 xml:space="preserve">а) доходность по </w:t>
      </w:r>
      <w:proofErr w:type="spellStart"/>
      <w:r w:rsidRPr="00296D30">
        <w:rPr>
          <w:sz w:val="28"/>
          <w:szCs w:val="28"/>
          <w:highlight w:val="yellow"/>
        </w:rPr>
        <w:t>безрисковым</w:t>
      </w:r>
      <w:proofErr w:type="spellEnd"/>
      <w:r w:rsidRPr="00296D30">
        <w:rPr>
          <w:sz w:val="28"/>
          <w:szCs w:val="28"/>
          <w:highlight w:val="yellow"/>
        </w:rPr>
        <w:t xml:space="preserve"> финансовым инструментам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б) стоимость акционерного капитала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lastRenderedPageBreak/>
        <w:t>в) темп роста дивидендов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A1BED">
        <w:rPr>
          <w:sz w:val="28"/>
          <w:szCs w:val="28"/>
        </w:rPr>
        <w:t>. Организованные сбережения – это: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сбережения в форме наличной и иностранной валюты на руках у населения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б) сбережения в форме вкладов в банки и ценные бумаги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временно свободные денежные средства населения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FA1BED">
        <w:rPr>
          <w:sz w:val="28"/>
          <w:szCs w:val="28"/>
        </w:rPr>
        <w:t xml:space="preserve">. Эмиссия облигаций относится </w:t>
      </w:r>
      <w:proofErr w:type="gramStart"/>
      <w:r w:rsidRPr="00FA1BED">
        <w:rPr>
          <w:sz w:val="28"/>
          <w:szCs w:val="28"/>
        </w:rPr>
        <w:t>к</w:t>
      </w:r>
      <w:proofErr w:type="gramEnd"/>
      <w:r w:rsidRPr="00FA1BED">
        <w:rPr>
          <w:sz w:val="28"/>
          <w:szCs w:val="28"/>
        </w:rPr>
        <w:t>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привлеченным источникам финансирования инвестиций фирмы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собственным источникам финансирования инвестиций фирмы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</w:t>
      </w:r>
      <w:r w:rsidRPr="00296D30">
        <w:rPr>
          <w:sz w:val="28"/>
          <w:szCs w:val="28"/>
          <w:highlight w:val="yellow"/>
        </w:rPr>
        <w:t>) заемным источникам финансирования инвестиций фирмы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FA1BED">
        <w:rPr>
          <w:sz w:val="28"/>
          <w:szCs w:val="28"/>
        </w:rPr>
        <w:t>. Оптимальной является такая структура инвестиционных ресурсов, при которой: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их средневзвешенная стоимость минимальна</w:t>
      </w:r>
      <w:r w:rsidRPr="00FA1BED">
        <w:rPr>
          <w:sz w:val="28"/>
          <w:szCs w:val="28"/>
        </w:rPr>
        <w:t xml:space="preserve"> 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б) достигается максимальный эффект финансового рычага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b/>
          <w:bCs/>
          <w:sz w:val="28"/>
          <w:szCs w:val="28"/>
        </w:rPr>
      </w:pPr>
      <w:r w:rsidRPr="00FA1BED">
        <w:rPr>
          <w:sz w:val="28"/>
          <w:szCs w:val="28"/>
        </w:rPr>
        <w:t>в) достигается равное соотношение между собственным и заемным капиталом.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A1BED">
        <w:rPr>
          <w:sz w:val="28"/>
          <w:szCs w:val="28"/>
        </w:rPr>
        <w:t xml:space="preserve">. Инвестиционные ресурсы предприятий – это: 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совокупность оборотных сре</w:t>
      </w:r>
      <w:proofErr w:type="gramStart"/>
      <w:r w:rsidRPr="00FA1BED">
        <w:rPr>
          <w:sz w:val="28"/>
          <w:szCs w:val="28"/>
        </w:rPr>
        <w:t>дств пр</w:t>
      </w:r>
      <w:proofErr w:type="gramEnd"/>
      <w:r w:rsidRPr="00FA1BED">
        <w:rPr>
          <w:sz w:val="28"/>
          <w:szCs w:val="28"/>
        </w:rPr>
        <w:t>едприятия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совокупность основных сре</w:t>
      </w:r>
      <w:proofErr w:type="gramStart"/>
      <w:r w:rsidRPr="00FA1BED">
        <w:rPr>
          <w:sz w:val="28"/>
          <w:szCs w:val="28"/>
        </w:rPr>
        <w:t>дств пр</w:t>
      </w:r>
      <w:proofErr w:type="gramEnd"/>
      <w:r w:rsidRPr="00FA1BED">
        <w:rPr>
          <w:sz w:val="28"/>
          <w:szCs w:val="28"/>
        </w:rPr>
        <w:t>едприятия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в) все виды капитальных активов, привлекаемых для осуществления инвестиционных вложений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FA1BED">
        <w:rPr>
          <w:sz w:val="28"/>
          <w:szCs w:val="28"/>
        </w:rPr>
        <w:t>. Формула аннуитета в инвестиционных расчетах используется: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при использовании комбинированных инвестиционных ресурсов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б) при последовательном осуществлении денежных потоков в равных размерах и через равные промежутки времени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при неопределенности величины дивидендных выплат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FA1BED">
        <w:rPr>
          <w:sz w:val="28"/>
          <w:szCs w:val="28"/>
        </w:rPr>
        <w:t>. Инвестиционный спрос представляет собой: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совокупность объектов инвестирования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совокупный доход, полученный хозяйствующими субъектами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</w:t>
      </w:r>
      <w:r w:rsidRPr="00296D30">
        <w:rPr>
          <w:sz w:val="28"/>
          <w:szCs w:val="28"/>
          <w:highlight w:val="yellow"/>
        </w:rPr>
        <w:t>) ресурсы, предназначенные для инвестирования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9</w:t>
      </w:r>
      <w:r w:rsidRPr="00FA1BED">
        <w:rPr>
          <w:sz w:val="28"/>
          <w:szCs w:val="28"/>
        </w:rPr>
        <w:t>. Специфические (несистематические) риски определяются: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факторами, на которые инвестор при выборе объектов инвестирования не может повлиять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б) факторами, на которые инвестор может влиять посредством повышения эффективности управления инвестиционной деятельностью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в) мерами по государственному регулированию инвестиционной деятельности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Pr="00FA1BED">
        <w:rPr>
          <w:sz w:val="28"/>
          <w:szCs w:val="28"/>
        </w:rPr>
        <w:t>. Недостатком внутренних источников финансирования инвестиций (собственных средств) по сравнению с внешними источниками инвестирования (привлеченными и заемными средствами) является: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ограниченность объемов привлечения средств</w:t>
      </w:r>
      <w:r w:rsidRPr="00FA1BED">
        <w:rPr>
          <w:sz w:val="28"/>
          <w:szCs w:val="28"/>
        </w:rPr>
        <w:t xml:space="preserve"> 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б) повышение риска неплатежеспособности и  банкротства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в) сложность и длительность процедуры привлечения средств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FA1BED">
        <w:rPr>
          <w:bCs/>
          <w:sz w:val="28"/>
          <w:szCs w:val="28"/>
        </w:rPr>
        <w:t>1. Внутренняя норма доходности представляет собой норму дисконта, при которой: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а) величина чистого дисконтированного дохода больше нуля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296D30">
        <w:rPr>
          <w:bCs/>
          <w:sz w:val="28"/>
          <w:szCs w:val="28"/>
          <w:highlight w:val="yellow"/>
        </w:rPr>
        <w:t>б) величина чистого дисконтированного дохода равна нулю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в) величина чистого дисконтированного дохода меньше нуля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22</w:t>
      </w:r>
      <w:r w:rsidRPr="00FA1BED">
        <w:rPr>
          <w:bCs/>
          <w:sz w:val="28"/>
          <w:szCs w:val="28"/>
        </w:rPr>
        <w:t>. Портфель реальных инвестиционных проектов по сравнению с портфелем ценных бумаг характеризуется: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296D30">
        <w:rPr>
          <w:bCs/>
          <w:sz w:val="28"/>
          <w:szCs w:val="28"/>
          <w:highlight w:val="yellow"/>
        </w:rPr>
        <w:t>а) более высокой капиталоемкостью и низкой ликвидностью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б) более низкой капиталоемкостью и высокой ликвидностью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в) более высокой доходностью</w:t>
      </w:r>
    </w:p>
    <w:p w:rsidR="009119FB" w:rsidRPr="00FA1BED" w:rsidRDefault="009119FB" w:rsidP="009119FB">
      <w:pPr>
        <w:pStyle w:val="2"/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sz w:val="28"/>
          <w:szCs w:val="28"/>
        </w:rPr>
        <w:t>23</w:t>
      </w:r>
      <w:r w:rsidRPr="00FA1BED">
        <w:rPr>
          <w:sz w:val="28"/>
          <w:szCs w:val="28"/>
        </w:rPr>
        <w:t xml:space="preserve">. </w:t>
      </w:r>
      <w:r w:rsidRPr="00FA1BED">
        <w:rPr>
          <w:bCs/>
          <w:sz w:val="28"/>
          <w:szCs w:val="28"/>
        </w:rPr>
        <w:t>Фундаментальный анализ базируется на изучении:</w:t>
      </w:r>
    </w:p>
    <w:p w:rsidR="009119FB" w:rsidRPr="00FA1BED" w:rsidRDefault="009119FB" w:rsidP="009119FB">
      <w:pPr>
        <w:pStyle w:val="2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а) индексов фондового рынка, рейтинговой оценке акций и облигаций</w:t>
      </w:r>
    </w:p>
    <w:p w:rsidR="009119FB" w:rsidRPr="00FA1BED" w:rsidRDefault="009119FB" w:rsidP="009119FB">
      <w:pPr>
        <w:pStyle w:val="2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б) динамики курсовой стоимости ценных бумаг</w:t>
      </w:r>
    </w:p>
    <w:p w:rsidR="009119FB" w:rsidRPr="00FA1BED" w:rsidRDefault="009119FB" w:rsidP="009119FB">
      <w:pPr>
        <w:pStyle w:val="2"/>
        <w:spacing w:after="0" w:line="360" w:lineRule="auto"/>
        <w:ind w:left="0" w:firstLine="709"/>
        <w:rPr>
          <w:bCs/>
          <w:sz w:val="28"/>
          <w:szCs w:val="28"/>
        </w:rPr>
      </w:pPr>
      <w:r w:rsidRPr="00296D30">
        <w:rPr>
          <w:bCs/>
          <w:sz w:val="28"/>
          <w:szCs w:val="28"/>
          <w:highlight w:val="yellow"/>
        </w:rPr>
        <w:t>в) показателей финансового состояния предприятия, степени конкурентоспособности производимой продукции, других характеристик деятельности предприятия – эмитента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Pr="00FA1BED">
        <w:rPr>
          <w:sz w:val="28"/>
          <w:szCs w:val="28"/>
        </w:rPr>
        <w:t>. Оценка инвестиционных рисков методом вероятностного распределения может осуществляться на основе расчета: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а) коэффициента бета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коэффициента безубыточности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в) коэффициента вариации</w:t>
      </w:r>
    </w:p>
    <w:p w:rsidR="009119FB" w:rsidRPr="00FA1BED" w:rsidRDefault="009119FB" w:rsidP="009119FB">
      <w:pPr>
        <w:pStyle w:val="a3"/>
        <w:tabs>
          <w:tab w:val="num" w:pos="7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25</w:t>
      </w:r>
      <w:r w:rsidRPr="00FA1BED">
        <w:rPr>
          <w:sz w:val="28"/>
          <w:szCs w:val="28"/>
        </w:rPr>
        <w:t>. Жизненный цикл инвестиционного проекта складывается из следующих основных этапов:</w:t>
      </w:r>
    </w:p>
    <w:p w:rsidR="009119FB" w:rsidRPr="00FA1BED" w:rsidRDefault="009119FB" w:rsidP="009119FB">
      <w:pPr>
        <w:pStyle w:val="a3"/>
        <w:tabs>
          <w:tab w:val="num" w:pos="720"/>
        </w:tabs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а) поиск концепции проекта, предварительная подготовка проекта, оценка осуществимости и финансовой приемлемости проекта</w:t>
      </w:r>
    </w:p>
    <w:p w:rsidR="009119FB" w:rsidRPr="00FA1BED" w:rsidRDefault="009119FB" w:rsidP="009119FB">
      <w:pPr>
        <w:pStyle w:val="a3"/>
        <w:tabs>
          <w:tab w:val="num" w:pos="720"/>
        </w:tabs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б) оценка инвестиционных качеств объекта инвестирования, принятие инвестиционного решения</w:t>
      </w:r>
    </w:p>
    <w:p w:rsidR="009119FB" w:rsidRPr="00FA1BED" w:rsidRDefault="009119FB" w:rsidP="009119FB">
      <w:pPr>
        <w:pStyle w:val="a3"/>
        <w:tabs>
          <w:tab w:val="num" w:pos="720"/>
        </w:tabs>
        <w:spacing w:line="360" w:lineRule="auto"/>
        <w:ind w:firstLine="709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 xml:space="preserve">в) </w:t>
      </w:r>
      <w:proofErr w:type="spellStart"/>
      <w:r w:rsidRPr="00296D30">
        <w:rPr>
          <w:sz w:val="28"/>
          <w:szCs w:val="28"/>
          <w:highlight w:val="yellow"/>
        </w:rPr>
        <w:t>предынвестиционная</w:t>
      </w:r>
      <w:proofErr w:type="spellEnd"/>
      <w:r w:rsidRPr="00296D30">
        <w:rPr>
          <w:sz w:val="28"/>
          <w:szCs w:val="28"/>
          <w:highlight w:val="yellow"/>
        </w:rPr>
        <w:t xml:space="preserve"> стадия, инвестирование, эксплуатация созданных объектов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26</w:t>
      </w:r>
      <w:r w:rsidRPr="00FA1BED">
        <w:rPr>
          <w:bCs/>
          <w:sz w:val="28"/>
          <w:szCs w:val="28"/>
        </w:rPr>
        <w:t>. Основной формой налоговых льгот при осуществлении инвестиций согласно Налоговому кодексу РФ является: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а) освобождение от налогообложения части прибыли, направляемой на финансирование инвестиций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б) налоговые каникулы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296D30">
        <w:rPr>
          <w:bCs/>
          <w:sz w:val="28"/>
          <w:szCs w:val="28"/>
          <w:highlight w:val="yellow"/>
        </w:rPr>
        <w:t>в) инвестиционный налоговый кредит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27</w:t>
      </w:r>
      <w:r w:rsidRPr="00FA1BED">
        <w:rPr>
          <w:bCs/>
          <w:sz w:val="28"/>
          <w:szCs w:val="28"/>
        </w:rPr>
        <w:t>. Инвестиционные институты – это: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296D30">
        <w:rPr>
          <w:bCs/>
          <w:sz w:val="28"/>
          <w:szCs w:val="28"/>
          <w:highlight w:val="yellow"/>
        </w:rPr>
        <w:t>а) профессиональные организации или отдельные физические лица, которые осуществляют деятельность на рынке ценных бумаг как исключительную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б) коммерческие банки как субъекты инвестиционной деятельности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 xml:space="preserve">в) кредитно-финансовые организации, осуществляющие выдачу ссуд 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28</w:t>
      </w:r>
      <w:r w:rsidRPr="00FA1BED">
        <w:rPr>
          <w:bCs/>
          <w:sz w:val="28"/>
          <w:szCs w:val="28"/>
        </w:rPr>
        <w:t>. Оптимальный инвестиционный портфель представляет собой: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t>а) инвестиционный портфель, ориентированный на максимизацию дохода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296D30">
        <w:rPr>
          <w:bCs/>
          <w:sz w:val="28"/>
          <w:szCs w:val="28"/>
          <w:highlight w:val="yellow"/>
        </w:rPr>
        <w:t>б) инвестиционный портфель, сформированный в соответствии с заданным соотношением доходности, риска и ликвидности</w:t>
      </w:r>
    </w:p>
    <w:p w:rsidR="009119FB" w:rsidRPr="00FA1BED" w:rsidRDefault="009119FB" w:rsidP="009119FB">
      <w:pPr>
        <w:pStyle w:val="3"/>
        <w:spacing w:after="0" w:line="360" w:lineRule="auto"/>
        <w:ind w:left="0" w:firstLine="709"/>
        <w:rPr>
          <w:bCs/>
          <w:sz w:val="28"/>
          <w:szCs w:val="28"/>
        </w:rPr>
      </w:pPr>
      <w:r w:rsidRPr="00FA1BED">
        <w:rPr>
          <w:bCs/>
          <w:sz w:val="28"/>
          <w:szCs w:val="28"/>
        </w:rPr>
        <w:lastRenderedPageBreak/>
        <w:t>в) инвестиционный портфель, ориентированный на минимизацию рисков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29</w:t>
      </w:r>
      <w:r w:rsidRPr="00FA1BED">
        <w:rPr>
          <w:sz w:val="28"/>
          <w:szCs w:val="28"/>
        </w:rPr>
        <w:t xml:space="preserve">. Вложения в фондовые инструменты характеризуются высоким уровнем риска </w:t>
      </w:r>
      <w:proofErr w:type="gramStart"/>
      <w:r w:rsidRPr="00FA1BED">
        <w:rPr>
          <w:sz w:val="28"/>
          <w:szCs w:val="28"/>
        </w:rPr>
        <w:t>при</w:t>
      </w:r>
      <w:proofErr w:type="gramEnd"/>
      <w:r w:rsidRPr="00FA1BED">
        <w:rPr>
          <w:sz w:val="28"/>
          <w:szCs w:val="28"/>
        </w:rPr>
        <w:t>: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а) β = 1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FA1BED">
        <w:rPr>
          <w:sz w:val="28"/>
          <w:szCs w:val="28"/>
        </w:rPr>
        <w:t>б) β &lt; 1</w:t>
      </w:r>
    </w:p>
    <w:p w:rsidR="009119FB" w:rsidRPr="00FA1BED" w:rsidRDefault="009119FB" w:rsidP="009119FB">
      <w:pPr>
        <w:pStyle w:val="a3"/>
        <w:spacing w:line="360" w:lineRule="auto"/>
        <w:ind w:firstLine="709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в) β &gt; 1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FA1BED">
        <w:rPr>
          <w:sz w:val="28"/>
          <w:szCs w:val="28"/>
        </w:rPr>
        <w:t>. Инвестиционное предложение представляет собой: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296D30">
        <w:rPr>
          <w:sz w:val="28"/>
          <w:szCs w:val="28"/>
          <w:highlight w:val="yellow"/>
        </w:rPr>
        <w:t>а) совокупность объектов инвестирования</w:t>
      </w:r>
    </w:p>
    <w:p w:rsidR="009119FB" w:rsidRPr="00FA1BED" w:rsidRDefault="009119FB" w:rsidP="009119FB">
      <w:pPr>
        <w:spacing w:line="360" w:lineRule="auto"/>
        <w:ind w:firstLine="709"/>
        <w:jc w:val="both"/>
        <w:rPr>
          <w:sz w:val="28"/>
          <w:szCs w:val="28"/>
        </w:rPr>
      </w:pPr>
      <w:r w:rsidRPr="00FA1BED">
        <w:rPr>
          <w:sz w:val="28"/>
          <w:szCs w:val="28"/>
        </w:rPr>
        <w:t>б) величину аккумулированного дохода, направляемого на инвестирование</w:t>
      </w:r>
    </w:p>
    <w:p w:rsidR="00A11228" w:rsidRDefault="009119FB" w:rsidP="009119FB">
      <w:r w:rsidRPr="00FA1BED">
        <w:rPr>
          <w:sz w:val="28"/>
          <w:szCs w:val="28"/>
        </w:rPr>
        <w:t>в) ресурсы, предназначенные для инвестирования</w:t>
      </w:r>
    </w:p>
    <w:sectPr w:rsidR="00A11228" w:rsidSect="00A11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01FC4"/>
    <w:multiLevelType w:val="hybridMultilevel"/>
    <w:tmpl w:val="834C97DE"/>
    <w:lvl w:ilvl="0" w:tplc="9D068AC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5A2318"/>
    <w:multiLevelType w:val="hybridMultilevel"/>
    <w:tmpl w:val="402E8C5A"/>
    <w:lvl w:ilvl="0" w:tplc="0E8A281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>
    <w:nsid w:val="619B30C0"/>
    <w:multiLevelType w:val="multilevel"/>
    <w:tmpl w:val="54E65B88"/>
    <w:lvl w:ilvl="0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119FB"/>
    <w:rsid w:val="00083008"/>
    <w:rsid w:val="00296D30"/>
    <w:rsid w:val="009119FB"/>
    <w:rsid w:val="00A1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119FB"/>
    <w:pPr>
      <w:ind w:left="720"/>
      <w:contextualSpacing/>
      <w:jc w:val="both"/>
    </w:pPr>
  </w:style>
  <w:style w:type="paragraph" w:styleId="a3">
    <w:name w:val="footnote text"/>
    <w:aliases w:val="-++,Table_Footnote_last,Текст сноски Знак1 Знак,Текст сноски Знак Знак Знак,Footnote Text Char Знак Знак,Footnote Text Char Знак"/>
    <w:basedOn w:val="a"/>
    <w:link w:val="a4"/>
    <w:rsid w:val="009119FB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aliases w:val="-++ Знак,Table_Footnote_last Знак,Текст сноски Знак1 Знак Знак,Текст сноски Знак Знак Знак Знак,Footnote Text Char Знак Знак Знак,Footnote Text Char Знак Знак1"/>
    <w:basedOn w:val="a0"/>
    <w:link w:val="a3"/>
    <w:rsid w:val="009119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9119F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119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119F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119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96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1048</Words>
  <Characters>5980</Characters>
  <Application>Microsoft Office Word</Application>
  <DocSecurity>0</DocSecurity>
  <Lines>49</Lines>
  <Paragraphs>14</Paragraphs>
  <ScaleCrop>false</ScaleCrop>
  <Company/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оля</cp:lastModifiedBy>
  <cp:revision>3</cp:revision>
  <dcterms:created xsi:type="dcterms:W3CDTF">2014-01-15T11:07:00Z</dcterms:created>
  <dcterms:modified xsi:type="dcterms:W3CDTF">2014-02-10T10:13:00Z</dcterms:modified>
</cp:coreProperties>
</file>