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06" w:rsidRPr="002458DB" w:rsidRDefault="00E76406" w:rsidP="00E7640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458DB">
        <w:rPr>
          <w:rFonts w:ascii="Arial" w:hAnsi="Arial" w:cs="Arial"/>
          <w:b/>
          <w:sz w:val="20"/>
          <w:szCs w:val="20"/>
          <w:u w:val="single"/>
        </w:rPr>
        <w:t>ВАРИАНТ –</w:t>
      </w:r>
      <w:r>
        <w:rPr>
          <w:rFonts w:ascii="Arial" w:hAnsi="Arial" w:cs="Arial"/>
          <w:b/>
          <w:sz w:val="20"/>
          <w:szCs w:val="20"/>
          <w:u w:val="single"/>
        </w:rPr>
        <w:t xml:space="preserve"> 8</w:t>
      </w:r>
    </w:p>
    <w:p w:rsidR="00E76406" w:rsidRPr="002458DB" w:rsidRDefault="00E76406" w:rsidP="00E76406">
      <w:pPr>
        <w:spacing w:line="240" w:lineRule="auto"/>
        <w:rPr>
          <w:rFonts w:ascii="Arial" w:hAnsi="Arial" w:cs="Arial"/>
          <w:sz w:val="20"/>
          <w:szCs w:val="20"/>
        </w:rPr>
      </w:pPr>
    </w:p>
    <w:p w:rsidR="00E76406" w:rsidRPr="001B1C37" w:rsidRDefault="00E76406" w:rsidP="00E76406">
      <w:pPr>
        <w:spacing w:line="240" w:lineRule="auto"/>
        <w:ind w:left="357" w:hanging="357"/>
        <w:rPr>
          <w:rFonts w:ascii="Arial" w:hAnsi="Arial" w:cs="Arial"/>
          <w:i/>
          <w:sz w:val="18"/>
          <w:szCs w:val="18"/>
          <w:u w:val="single"/>
        </w:rPr>
      </w:pPr>
    </w:p>
    <w:p w:rsidR="00E76406" w:rsidRPr="00885342" w:rsidRDefault="00E76406" w:rsidP="00E76406">
      <w:pPr>
        <w:spacing w:line="240" w:lineRule="auto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i/>
          <w:sz w:val="18"/>
          <w:szCs w:val="18"/>
          <w:u w:val="single"/>
        </w:rPr>
        <w:t>Задание 1.</w:t>
      </w:r>
      <w:r w:rsidRPr="00885342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Теоретический вопрос:</w:t>
      </w:r>
    </w:p>
    <w:p w:rsidR="00E76406" w:rsidRPr="00885342" w:rsidRDefault="00E76406" w:rsidP="00E76406">
      <w:pPr>
        <w:spacing w:line="240" w:lineRule="auto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Регламентация и анализ результатов контрольной деятельности Счетной палаты РФ.</w:t>
      </w:r>
    </w:p>
    <w:p w:rsidR="00E76406" w:rsidRPr="00885342" w:rsidRDefault="00E76406" w:rsidP="00E76406">
      <w:pPr>
        <w:spacing w:line="240" w:lineRule="auto"/>
        <w:rPr>
          <w:rFonts w:ascii="Arial" w:hAnsi="Arial" w:cs="Arial"/>
          <w:i/>
          <w:sz w:val="18"/>
          <w:szCs w:val="18"/>
          <w:u w:val="single"/>
        </w:rPr>
      </w:pPr>
    </w:p>
    <w:p w:rsidR="00E76406" w:rsidRPr="00885342" w:rsidRDefault="00E76406" w:rsidP="00E76406">
      <w:pPr>
        <w:spacing w:line="240" w:lineRule="auto"/>
        <w:rPr>
          <w:rFonts w:ascii="Arial" w:hAnsi="Arial" w:cs="Arial"/>
          <w:i/>
          <w:sz w:val="18"/>
          <w:szCs w:val="18"/>
          <w:u w:val="single"/>
        </w:rPr>
      </w:pPr>
    </w:p>
    <w:p w:rsidR="00E76406" w:rsidRPr="00885342" w:rsidRDefault="00E76406" w:rsidP="00E76406">
      <w:pPr>
        <w:spacing w:line="240" w:lineRule="auto"/>
        <w:rPr>
          <w:rFonts w:ascii="Arial" w:hAnsi="Arial" w:cs="Arial"/>
          <w:i/>
          <w:sz w:val="18"/>
          <w:szCs w:val="18"/>
          <w:u w:val="single"/>
        </w:rPr>
      </w:pPr>
      <w:r w:rsidRPr="00885342">
        <w:rPr>
          <w:rFonts w:ascii="Arial" w:hAnsi="Arial" w:cs="Arial"/>
          <w:i/>
          <w:sz w:val="18"/>
          <w:szCs w:val="18"/>
          <w:u w:val="single"/>
        </w:rPr>
        <w:t>Задание 2.</w:t>
      </w:r>
    </w:p>
    <w:p w:rsidR="00E76406" w:rsidRPr="00885342" w:rsidRDefault="00E76406" w:rsidP="00E76406">
      <w:pPr>
        <w:pStyle w:val="a9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Логическая цепочка: Страхователь, застрахованные 1967 года рождения и моложе, 2014 год, взносы в разм</w:t>
      </w:r>
      <w:r w:rsidRPr="00885342">
        <w:rPr>
          <w:rFonts w:ascii="Arial" w:hAnsi="Arial" w:cs="Arial"/>
          <w:sz w:val="18"/>
          <w:szCs w:val="18"/>
        </w:rPr>
        <w:t>е</w:t>
      </w:r>
      <w:r w:rsidRPr="00885342">
        <w:rPr>
          <w:rFonts w:ascii="Arial" w:hAnsi="Arial" w:cs="Arial"/>
          <w:sz w:val="18"/>
          <w:szCs w:val="18"/>
        </w:rPr>
        <w:t>ре 6%, Правительство РФ, накопительная часть пенсии, страховая часть пенсии.</w:t>
      </w:r>
    </w:p>
    <w:p w:rsidR="00E76406" w:rsidRPr="00885342" w:rsidRDefault="00E76406" w:rsidP="00E76406">
      <w:pPr>
        <w:pStyle w:val="a9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spacing w:line="240" w:lineRule="auto"/>
        <w:rPr>
          <w:rFonts w:ascii="Arial" w:hAnsi="Arial" w:cs="Arial"/>
          <w:i/>
          <w:sz w:val="18"/>
          <w:szCs w:val="18"/>
          <w:u w:val="single"/>
        </w:rPr>
      </w:pPr>
    </w:p>
    <w:p w:rsidR="00E76406" w:rsidRPr="00885342" w:rsidRDefault="00E76406" w:rsidP="00E76406">
      <w:pPr>
        <w:spacing w:line="240" w:lineRule="auto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i/>
          <w:sz w:val="18"/>
          <w:szCs w:val="18"/>
          <w:u w:val="single"/>
        </w:rPr>
        <w:t>Задание 3.</w:t>
      </w:r>
      <w:r w:rsidRPr="0088534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Тестовое задание:</w:t>
      </w:r>
    </w:p>
    <w:p w:rsidR="00E76406" w:rsidRDefault="00E76406" w:rsidP="00E76406">
      <w:pPr>
        <w:spacing w:line="240" w:lineRule="auto"/>
        <w:rPr>
          <w:rFonts w:ascii="Arial" w:hAnsi="Arial" w:cs="Arial"/>
          <w:sz w:val="18"/>
          <w:szCs w:val="18"/>
        </w:rPr>
      </w:pPr>
    </w:p>
    <w:p w:rsidR="00E76406" w:rsidRPr="00D279AD" w:rsidRDefault="00E76406" w:rsidP="00E76406">
      <w:pPr>
        <w:spacing w:line="240" w:lineRule="auto"/>
        <w:rPr>
          <w:rFonts w:ascii="Arial" w:hAnsi="Arial" w:cs="Arial"/>
          <w:sz w:val="18"/>
          <w:szCs w:val="18"/>
        </w:rPr>
      </w:pPr>
    </w:p>
    <w:p w:rsidR="00E76406" w:rsidRPr="00D279AD" w:rsidRDefault="00E76406" w:rsidP="00E76406">
      <w:pPr>
        <w:numPr>
          <w:ilvl w:val="0"/>
          <w:numId w:val="1"/>
        </w:numPr>
        <w:tabs>
          <w:tab w:val="left" w:pos="360"/>
        </w:tabs>
        <w:spacing w:line="240" w:lineRule="auto"/>
        <w:ind w:left="0" w:firstLine="0"/>
        <w:jc w:val="left"/>
        <w:rPr>
          <w:rFonts w:ascii="Arial" w:eastAsia="Calibri" w:hAnsi="Arial" w:cs="Arial"/>
          <w:sz w:val="18"/>
          <w:szCs w:val="18"/>
        </w:rPr>
      </w:pPr>
      <w:r w:rsidRPr="00D279AD">
        <w:rPr>
          <w:rFonts w:ascii="Arial" w:eastAsia="Calibri" w:hAnsi="Arial" w:cs="Arial"/>
          <w:sz w:val="18"/>
          <w:szCs w:val="18"/>
        </w:rPr>
        <w:t>Счетная палата РФ подотчетна:</w:t>
      </w:r>
    </w:p>
    <w:p w:rsidR="00E76406" w:rsidRPr="00D279AD" w:rsidRDefault="00E76406" w:rsidP="00E76406">
      <w:pPr>
        <w:tabs>
          <w:tab w:val="left" w:pos="360"/>
        </w:tabs>
        <w:spacing w:line="240" w:lineRule="auto"/>
        <w:rPr>
          <w:rFonts w:ascii="Arial" w:eastAsia="Calibri" w:hAnsi="Arial" w:cs="Arial"/>
          <w:sz w:val="18"/>
          <w:szCs w:val="18"/>
        </w:rPr>
      </w:pPr>
      <w:r w:rsidRPr="00D279AD">
        <w:rPr>
          <w:rFonts w:ascii="Arial" w:eastAsia="Calibri" w:hAnsi="Arial" w:cs="Arial"/>
          <w:sz w:val="18"/>
          <w:szCs w:val="18"/>
        </w:rPr>
        <w:t xml:space="preserve">а) Правительству РФ     </w:t>
      </w:r>
    </w:p>
    <w:p w:rsidR="00E76406" w:rsidRPr="00D279AD" w:rsidRDefault="00E76406" w:rsidP="00E76406">
      <w:pPr>
        <w:tabs>
          <w:tab w:val="left" w:pos="360"/>
        </w:tabs>
        <w:spacing w:line="240" w:lineRule="auto"/>
        <w:rPr>
          <w:rFonts w:ascii="Arial" w:eastAsia="Calibri" w:hAnsi="Arial" w:cs="Arial"/>
          <w:sz w:val="18"/>
          <w:szCs w:val="18"/>
        </w:rPr>
      </w:pPr>
      <w:r w:rsidRPr="00D279AD">
        <w:rPr>
          <w:rFonts w:ascii="Arial" w:eastAsia="Calibri" w:hAnsi="Arial" w:cs="Arial"/>
          <w:sz w:val="18"/>
          <w:szCs w:val="18"/>
        </w:rPr>
        <w:t xml:space="preserve">б) Парламенту РФ    </w:t>
      </w:r>
    </w:p>
    <w:p w:rsidR="00E76406" w:rsidRPr="00D279AD" w:rsidRDefault="00E76406" w:rsidP="00E76406">
      <w:pPr>
        <w:tabs>
          <w:tab w:val="left" w:pos="360"/>
        </w:tabs>
        <w:spacing w:line="240" w:lineRule="auto"/>
        <w:rPr>
          <w:rFonts w:ascii="Arial" w:eastAsia="Calibri" w:hAnsi="Arial" w:cs="Arial"/>
          <w:sz w:val="18"/>
          <w:szCs w:val="18"/>
        </w:rPr>
      </w:pPr>
      <w:r w:rsidRPr="00D279AD">
        <w:rPr>
          <w:rFonts w:ascii="Arial" w:eastAsia="Calibri" w:hAnsi="Arial" w:cs="Arial"/>
          <w:sz w:val="18"/>
          <w:szCs w:val="18"/>
        </w:rPr>
        <w:t xml:space="preserve">в) Минфину РФ     </w:t>
      </w:r>
    </w:p>
    <w:p w:rsidR="00E76406" w:rsidRPr="00D279AD" w:rsidRDefault="00E76406" w:rsidP="00E76406">
      <w:pPr>
        <w:tabs>
          <w:tab w:val="left" w:pos="360"/>
        </w:tabs>
        <w:spacing w:line="240" w:lineRule="auto"/>
        <w:rPr>
          <w:rFonts w:ascii="Arial" w:eastAsia="Calibri" w:hAnsi="Arial" w:cs="Arial"/>
          <w:sz w:val="18"/>
          <w:szCs w:val="18"/>
        </w:rPr>
      </w:pPr>
      <w:r w:rsidRPr="00D279AD">
        <w:rPr>
          <w:rFonts w:ascii="Arial" w:eastAsia="Calibri" w:hAnsi="Arial" w:cs="Arial"/>
          <w:sz w:val="18"/>
          <w:szCs w:val="18"/>
        </w:rPr>
        <w:t xml:space="preserve">г) Президенту РФ </w:t>
      </w:r>
    </w:p>
    <w:p w:rsidR="00E76406" w:rsidRPr="00D279AD" w:rsidRDefault="00E76406" w:rsidP="00E76406">
      <w:pPr>
        <w:pStyle w:val="1"/>
        <w:tabs>
          <w:tab w:val="clear" w:pos="709"/>
        </w:tabs>
        <w:spacing w:line="240" w:lineRule="auto"/>
        <w:ind w:firstLine="0"/>
        <w:rPr>
          <w:rFonts w:ascii="Arial" w:hAnsi="Arial" w:cs="Arial"/>
          <w:sz w:val="18"/>
          <w:szCs w:val="18"/>
        </w:rPr>
      </w:pPr>
    </w:p>
    <w:p w:rsidR="00E76406" w:rsidRPr="00D279AD" w:rsidRDefault="00E76406" w:rsidP="00E76406">
      <w:pPr>
        <w:pStyle w:val="1"/>
        <w:numPr>
          <w:ilvl w:val="0"/>
          <w:numId w:val="1"/>
        </w:num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D279AD">
        <w:rPr>
          <w:rFonts w:ascii="Arial" w:hAnsi="Arial" w:cs="Arial"/>
          <w:sz w:val="18"/>
          <w:szCs w:val="18"/>
        </w:rPr>
        <w:t>Кто платит взносы на обязательное социальное страхование от несчастных случаев на производстве и профессиональных заболеваний?</w:t>
      </w:r>
    </w:p>
    <w:p w:rsidR="00E76406" w:rsidRPr="00D279AD" w:rsidRDefault="00E76406" w:rsidP="00E76406">
      <w:pPr>
        <w:pStyle w:val="1"/>
        <w:spacing w:line="240" w:lineRule="auto"/>
        <w:ind w:firstLine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а) все организации</w:t>
      </w:r>
    </w:p>
    <w:p w:rsidR="00E76406" w:rsidRPr="00D279AD" w:rsidRDefault="00E76406" w:rsidP="00E76406">
      <w:pPr>
        <w:pStyle w:val="1"/>
        <w:spacing w:line="240" w:lineRule="auto"/>
        <w:ind w:firstLine="0"/>
        <w:rPr>
          <w:rFonts w:ascii="Arial" w:hAnsi="Arial" w:cs="Arial"/>
          <w:sz w:val="18"/>
          <w:szCs w:val="18"/>
        </w:rPr>
      </w:pPr>
      <w:r w:rsidRPr="00D279AD">
        <w:rPr>
          <w:rFonts w:ascii="Arial" w:hAnsi="Arial" w:cs="Arial"/>
          <w:sz w:val="18"/>
          <w:szCs w:val="18"/>
        </w:rPr>
        <w:t>б) организации,</w:t>
      </w:r>
      <w:r>
        <w:rPr>
          <w:rFonts w:ascii="Arial" w:hAnsi="Arial" w:cs="Arial"/>
          <w:sz w:val="18"/>
          <w:szCs w:val="18"/>
        </w:rPr>
        <w:t xml:space="preserve"> за исключением государственных</w:t>
      </w:r>
    </w:p>
    <w:p w:rsidR="00E76406" w:rsidRPr="00D279AD" w:rsidRDefault="00E76406" w:rsidP="00E76406">
      <w:pPr>
        <w:pStyle w:val="1"/>
        <w:spacing w:line="240" w:lineRule="auto"/>
        <w:ind w:firstLine="0"/>
        <w:rPr>
          <w:rFonts w:ascii="Arial" w:hAnsi="Arial" w:cs="Arial"/>
          <w:sz w:val="18"/>
          <w:szCs w:val="18"/>
        </w:rPr>
      </w:pPr>
      <w:r w:rsidRPr="00D279AD">
        <w:rPr>
          <w:rFonts w:ascii="Arial" w:hAnsi="Arial" w:cs="Arial"/>
          <w:sz w:val="18"/>
          <w:szCs w:val="18"/>
        </w:rPr>
        <w:t>в) только организации</w:t>
      </w:r>
      <w:r>
        <w:rPr>
          <w:rFonts w:ascii="Arial" w:hAnsi="Arial" w:cs="Arial"/>
          <w:sz w:val="18"/>
          <w:szCs w:val="18"/>
        </w:rPr>
        <w:t xml:space="preserve"> с повышенным уровнем опасности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2"/>
        <w:keepLines w:val="0"/>
        <w:numPr>
          <w:ilvl w:val="0"/>
          <w:numId w:val="1"/>
        </w:numPr>
        <w:tabs>
          <w:tab w:val="clear" w:pos="720"/>
          <w:tab w:val="num" w:pos="1077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Участниками бюджетного процесса РФ являются:</w:t>
      </w:r>
    </w:p>
    <w:p w:rsidR="00E76406" w:rsidRPr="00885342" w:rsidRDefault="00E76406" w:rsidP="00E76406">
      <w:pPr>
        <w:pStyle w:val="2"/>
        <w:keepLines w:val="0"/>
        <w:tabs>
          <w:tab w:val="num" w:pos="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Федеральное собрание РФ, Президент РФ, Минфин РФ</w:t>
      </w:r>
    </w:p>
    <w:p w:rsidR="00E76406" w:rsidRPr="00885342" w:rsidRDefault="00E76406" w:rsidP="00E76406">
      <w:pPr>
        <w:pStyle w:val="2"/>
        <w:keepLines w:val="0"/>
        <w:tabs>
          <w:tab w:val="num" w:pos="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б) Городской Совет депутатов, Мэр, Управление финансами</w:t>
      </w:r>
    </w:p>
    <w:p w:rsidR="00E76406" w:rsidRPr="00885342" w:rsidRDefault="00E76406" w:rsidP="00E76406">
      <w:pPr>
        <w:pStyle w:val="2"/>
        <w:keepLines w:val="0"/>
        <w:tabs>
          <w:tab w:val="num" w:pos="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государственные внебюджетные фонды, Банк России</w:t>
      </w:r>
    </w:p>
    <w:p w:rsidR="00E76406" w:rsidRPr="00885342" w:rsidRDefault="00E76406" w:rsidP="00E76406">
      <w:pPr>
        <w:pStyle w:val="2"/>
        <w:keepLines w:val="0"/>
        <w:tabs>
          <w:tab w:val="num" w:pos="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г) «а» и «в»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</w:tabs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Получателем бюджетных средств может быть: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бюджетное учреждение или унитарное предприятие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б) только бюджетное учреждение</w:t>
      </w:r>
    </w:p>
    <w:p w:rsidR="00E76406" w:rsidRPr="00885342" w:rsidRDefault="00E76406" w:rsidP="00E76406">
      <w:pPr>
        <w:pStyle w:val="1"/>
        <w:spacing w:line="240" w:lineRule="auto"/>
        <w:ind w:firstLine="0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казенное учреждение, имеющее право на принятие и (или) исполнение бюджетных обязательств от имени публично-правового образования за счет с</w:t>
      </w:r>
      <w:r>
        <w:rPr>
          <w:rFonts w:ascii="Arial" w:hAnsi="Arial" w:cs="Arial"/>
          <w:sz w:val="18"/>
          <w:szCs w:val="18"/>
        </w:rPr>
        <w:t>редств соответствующего бюджета</w:t>
      </w:r>
    </w:p>
    <w:p w:rsidR="00E76406" w:rsidRPr="00885342" w:rsidRDefault="00E76406" w:rsidP="00E76406">
      <w:pPr>
        <w:tabs>
          <w:tab w:val="left" w:pos="75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  <w:tab w:val="left" w:pos="7560"/>
        </w:tabs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Основным макроэкономическим показателем, используемым в процессе формирования бюджетов ра</w:t>
      </w:r>
      <w:r w:rsidRPr="00885342">
        <w:rPr>
          <w:rFonts w:ascii="Arial" w:hAnsi="Arial" w:cs="Arial"/>
          <w:sz w:val="18"/>
          <w:szCs w:val="18"/>
        </w:rPr>
        <w:t>з</w:t>
      </w:r>
      <w:r w:rsidRPr="00885342">
        <w:rPr>
          <w:rFonts w:ascii="Arial" w:hAnsi="Arial" w:cs="Arial"/>
          <w:sz w:val="18"/>
          <w:szCs w:val="18"/>
        </w:rPr>
        <w:t xml:space="preserve">личных уровней </w:t>
      </w:r>
    </w:p>
    <w:p w:rsidR="00E76406" w:rsidRPr="00885342" w:rsidRDefault="00E76406" w:rsidP="00E76406">
      <w:pPr>
        <w:tabs>
          <w:tab w:val="num" w:pos="360"/>
          <w:tab w:val="left" w:pos="75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а) уровень прожиточного минимума   </w:t>
      </w:r>
    </w:p>
    <w:p w:rsidR="00E76406" w:rsidRPr="00885342" w:rsidRDefault="00E76406" w:rsidP="00E76406">
      <w:pPr>
        <w:tabs>
          <w:tab w:val="num" w:pos="360"/>
          <w:tab w:val="left" w:pos="75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б) уровень налогового бремени  </w:t>
      </w:r>
    </w:p>
    <w:p w:rsidR="00E76406" w:rsidRDefault="00E76406" w:rsidP="00E76406">
      <w:pPr>
        <w:tabs>
          <w:tab w:val="num" w:pos="360"/>
          <w:tab w:val="left" w:pos="75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уровень инфляции</w:t>
      </w:r>
    </w:p>
    <w:p w:rsidR="00E76406" w:rsidRPr="00885342" w:rsidRDefault="00E76406" w:rsidP="00E76406">
      <w:pPr>
        <w:tabs>
          <w:tab w:val="num" w:pos="360"/>
          <w:tab w:val="left" w:pos="75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2"/>
        <w:keepLines w:val="0"/>
        <w:numPr>
          <w:ilvl w:val="0"/>
          <w:numId w:val="1"/>
        </w:numPr>
        <w:tabs>
          <w:tab w:val="clear" w:pos="720"/>
          <w:tab w:val="left" w:pos="900"/>
          <w:tab w:val="num" w:pos="1077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Предельный объем расходов на обслуживание муниципального долга не должен превышать </w:t>
      </w:r>
    </w:p>
    <w:p w:rsidR="00E76406" w:rsidRPr="00885342" w:rsidRDefault="00E76406" w:rsidP="00E76406">
      <w:pPr>
        <w:pStyle w:val="2"/>
        <w:keepLines w:val="0"/>
        <w:tabs>
          <w:tab w:val="num" w:pos="0"/>
          <w:tab w:val="left" w:pos="90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а) объем расходов местного бюджета без учета безвозмездных поступлений </w:t>
      </w:r>
    </w:p>
    <w:p w:rsidR="00E76406" w:rsidRPr="00885342" w:rsidRDefault="00E76406" w:rsidP="00E76406">
      <w:pPr>
        <w:pStyle w:val="2"/>
        <w:keepLines w:val="0"/>
        <w:tabs>
          <w:tab w:val="num" w:pos="0"/>
          <w:tab w:val="left" w:pos="90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б) 10 % объема доходов местного бюджета без учета безвозмездных поступлений</w:t>
      </w:r>
    </w:p>
    <w:p w:rsidR="00E76406" w:rsidRPr="00885342" w:rsidRDefault="00E76406" w:rsidP="00E76406">
      <w:pPr>
        <w:pStyle w:val="2"/>
        <w:keepLines w:val="0"/>
        <w:tabs>
          <w:tab w:val="num" w:pos="0"/>
          <w:tab w:val="left" w:pos="90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15 % объема расходов местного бюджета без учета расходов, финансируемых за счет субвенций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</w:tabs>
        <w:spacing w:after="0"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Какой принцип управления государственным долгом означает безукоризненное выполнение долговых обязательств перед кредиторами?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оптимальность структуры долговых обязательств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б) принцип единства                                     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сохранение финансовой независимости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г) безусловности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1"/>
        <w:numPr>
          <w:ilvl w:val="0"/>
          <w:numId w:val="1"/>
        </w:numPr>
        <w:tabs>
          <w:tab w:val="clear" w:pos="720"/>
          <w:tab w:val="num" w:pos="1077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Для какого фонда характерно распределение средств на конкурсной основе?</w:t>
      </w:r>
    </w:p>
    <w:p w:rsidR="00E76406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а) </w:t>
      </w:r>
      <w:r>
        <w:rPr>
          <w:rFonts w:ascii="Arial" w:hAnsi="Arial" w:cs="Arial"/>
          <w:sz w:val="18"/>
          <w:szCs w:val="18"/>
        </w:rPr>
        <w:t>Ф</w:t>
      </w:r>
      <w:r w:rsidRPr="00885342">
        <w:rPr>
          <w:rFonts w:ascii="Arial" w:hAnsi="Arial" w:cs="Arial"/>
          <w:sz w:val="18"/>
          <w:szCs w:val="18"/>
        </w:rPr>
        <w:t xml:space="preserve">онд регионального развития               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б) Ф</w:t>
      </w:r>
      <w:r w:rsidRPr="00885342">
        <w:rPr>
          <w:rFonts w:ascii="Arial" w:hAnsi="Arial" w:cs="Arial"/>
          <w:sz w:val="18"/>
          <w:szCs w:val="18"/>
        </w:rPr>
        <w:t>онд компенсаций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в) Ф</w:t>
      </w:r>
      <w:r w:rsidRPr="00885342">
        <w:rPr>
          <w:rFonts w:ascii="Arial" w:hAnsi="Arial" w:cs="Arial"/>
          <w:sz w:val="18"/>
          <w:szCs w:val="18"/>
        </w:rPr>
        <w:t>онд реформирования региональных финансов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1"/>
        <w:numPr>
          <w:ilvl w:val="0"/>
          <w:numId w:val="1"/>
        </w:numPr>
        <w:tabs>
          <w:tab w:val="clear" w:pos="720"/>
          <w:tab w:val="num" w:pos="1077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Какой из перечисленных субъектов РФ не входит в первую пятерку «регионов-иждивенцев»?</w:t>
      </w:r>
    </w:p>
    <w:p w:rsidR="00E76406" w:rsidRPr="00885342" w:rsidRDefault="00E76406" w:rsidP="00E76406">
      <w:pPr>
        <w:pStyle w:val="1"/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а) </w:t>
      </w:r>
      <w:r>
        <w:rPr>
          <w:rFonts w:ascii="Arial" w:hAnsi="Arial" w:cs="Arial"/>
          <w:sz w:val="18"/>
          <w:szCs w:val="18"/>
        </w:rPr>
        <w:t xml:space="preserve">Красноярский край    </w:t>
      </w:r>
      <w:r w:rsidRPr="00885342">
        <w:rPr>
          <w:rFonts w:ascii="Arial" w:hAnsi="Arial" w:cs="Arial"/>
          <w:sz w:val="18"/>
          <w:szCs w:val="18"/>
        </w:rPr>
        <w:t xml:space="preserve">         б) Республика </w:t>
      </w:r>
      <w:r>
        <w:rPr>
          <w:rFonts w:ascii="Arial" w:hAnsi="Arial" w:cs="Arial"/>
          <w:sz w:val="18"/>
          <w:szCs w:val="18"/>
        </w:rPr>
        <w:t>Дагестан</w:t>
      </w:r>
      <w:r w:rsidRPr="00885342">
        <w:rPr>
          <w:rFonts w:ascii="Arial" w:hAnsi="Arial" w:cs="Arial"/>
          <w:sz w:val="18"/>
          <w:szCs w:val="18"/>
        </w:rPr>
        <w:t xml:space="preserve">            в) Камчатский край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</w:tabs>
        <w:spacing w:after="0"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Расходы на сельское хозяйство относятся к разделу (направлению расходов):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национальная безопасность                      б) общегосударственные вопросы</w:t>
      </w:r>
    </w:p>
    <w:p w:rsidR="00E76406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в) жилищно-коммунальное хозяйство      </w:t>
      </w:r>
      <w:r>
        <w:rPr>
          <w:rFonts w:ascii="Arial" w:hAnsi="Arial" w:cs="Arial"/>
          <w:sz w:val="18"/>
          <w:szCs w:val="18"/>
        </w:rPr>
        <w:t xml:space="preserve">      г) национальная экономика</w:t>
      </w:r>
    </w:p>
    <w:p w:rsidR="00E76406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</w:tabs>
        <w:spacing w:after="0"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Какой налог не поступает в федеральный бюджет?</w:t>
      </w:r>
    </w:p>
    <w:p w:rsidR="00E76406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акцизы на табачные изделия              б) водный налог                 в) акцизы на бензин                 г) верно все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10"/>
        <w:keepLines w:val="0"/>
        <w:numPr>
          <w:ilvl w:val="0"/>
          <w:numId w:val="1"/>
        </w:numPr>
        <w:tabs>
          <w:tab w:val="clear" w:pos="720"/>
          <w:tab w:val="left" w:pos="360"/>
          <w:tab w:val="num" w:pos="1077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Принцип сбалансированности бюджета означает:</w:t>
      </w:r>
    </w:p>
    <w:p w:rsidR="00E76406" w:rsidRPr="00885342" w:rsidRDefault="00E76406" w:rsidP="00E76406">
      <w:pPr>
        <w:pStyle w:val="10"/>
        <w:keepLines w:val="0"/>
        <w:tabs>
          <w:tab w:val="left" w:pos="360"/>
        </w:tabs>
        <w:ind w:firstLine="0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соответствие расходов суммарному объему доходов бюджета и поступлений из источников финансиров</w:t>
      </w:r>
      <w:r w:rsidRPr="00885342">
        <w:rPr>
          <w:rFonts w:ascii="Arial" w:hAnsi="Arial" w:cs="Arial"/>
          <w:sz w:val="18"/>
          <w:szCs w:val="18"/>
        </w:rPr>
        <w:t>а</w:t>
      </w:r>
      <w:r w:rsidRPr="00885342">
        <w:rPr>
          <w:rFonts w:ascii="Arial" w:hAnsi="Arial" w:cs="Arial"/>
          <w:sz w:val="18"/>
          <w:szCs w:val="18"/>
        </w:rPr>
        <w:t>ния его дефицита</w:t>
      </w:r>
    </w:p>
    <w:p w:rsidR="00E76406" w:rsidRPr="00885342" w:rsidRDefault="00E76406" w:rsidP="00E76406">
      <w:pPr>
        <w:pStyle w:val="10"/>
        <w:keepLines w:val="0"/>
        <w:tabs>
          <w:tab w:val="left" w:pos="36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б) равенство доходов и расходов бюджета</w:t>
      </w:r>
    </w:p>
    <w:p w:rsidR="00E76406" w:rsidRPr="00885342" w:rsidRDefault="00E76406" w:rsidP="00E76406">
      <w:pPr>
        <w:pStyle w:val="10"/>
        <w:keepLines w:val="0"/>
        <w:tabs>
          <w:tab w:val="left" w:pos="360"/>
        </w:tabs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соответствие расходов доходам с учетом финансовой помощи</w:t>
      </w:r>
    </w:p>
    <w:p w:rsidR="00E76406" w:rsidRPr="00885342" w:rsidRDefault="00E76406" w:rsidP="00E76406">
      <w:pPr>
        <w:pStyle w:val="a9"/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</w:tabs>
        <w:spacing w:after="0" w:line="24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К местным бюджетам относятся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городские бюджеты городов федерального значения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 xml:space="preserve">б) бюджеты городских округов                                  </w:t>
      </w:r>
    </w:p>
    <w:p w:rsidR="00E76406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краевые бюджеты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a9"/>
        <w:numPr>
          <w:ilvl w:val="0"/>
          <w:numId w:val="1"/>
        </w:numPr>
        <w:tabs>
          <w:tab w:val="clear" w:pos="720"/>
          <w:tab w:val="num" w:pos="1077"/>
        </w:tabs>
        <w:spacing w:after="0"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На каких стадиях бюджетного процесса в субъекте РФ осуществляется государственный финансовый контроль: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на ста</w:t>
      </w:r>
      <w:r>
        <w:rPr>
          <w:rFonts w:ascii="Arial" w:hAnsi="Arial" w:cs="Arial"/>
          <w:sz w:val="18"/>
          <w:szCs w:val="18"/>
        </w:rPr>
        <w:t>дии составления проекта бюджета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б) на стадии исполнения бюджета</w:t>
      </w:r>
    </w:p>
    <w:p w:rsidR="00E76406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на в</w:t>
      </w:r>
      <w:r>
        <w:rPr>
          <w:rFonts w:ascii="Arial" w:hAnsi="Arial" w:cs="Arial"/>
          <w:sz w:val="18"/>
          <w:szCs w:val="18"/>
        </w:rPr>
        <w:t>сех стадиях бюджетного процесса</w:t>
      </w:r>
    </w:p>
    <w:p w:rsidR="00E76406" w:rsidRPr="00885342" w:rsidRDefault="00E76406" w:rsidP="00E76406">
      <w:p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1"/>
        <w:numPr>
          <w:ilvl w:val="0"/>
          <w:numId w:val="1"/>
        </w:numPr>
        <w:tabs>
          <w:tab w:val="clear" w:pos="720"/>
          <w:tab w:val="num" w:pos="1077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Что не относится к налоговым доходам?</w:t>
      </w:r>
    </w:p>
    <w:p w:rsidR="00E76406" w:rsidRPr="00885342" w:rsidRDefault="00E76406" w:rsidP="00E76406">
      <w:pPr>
        <w:tabs>
          <w:tab w:val="left" w:pos="326"/>
          <w:tab w:val="num" w:pos="3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а) таможенны</w:t>
      </w:r>
      <w:r>
        <w:rPr>
          <w:rFonts w:ascii="Arial" w:hAnsi="Arial" w:cs="Arial"/>
          <w:sz w:val="18"/>
          <w:szCs w:val="18"/>
        </w:rPr>
        <w:t>е пошлины</w:t>
      </w:r>
    </w:p>
    <w:p w:rsidR="00E76406" w:rsidRPr="00885342" w:rsidRDefault="00E76406" w:rsidP="00E76406">
      <w:pPr>
        <w:tabs>
          <w:tab w:val="left" w:pos="326"/>
          <w:tab w:val="num" w:pos="3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б) государственные пошлины</w:t>
      </w:r>
    </w:p>
    <w:p w:rsidR="00E76406" w:rsidRDefault="00E76406" w:rsidP="00E76406">
      <w:pPr>
        <w:pStyle w:val="1"/>
        <w:tabs>
          <w:tab w:val="clear" w:pos="709"/>
          <w:tab w:val="num" w:pos="3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885342">
        <w:rPr>
          <w:rFonts w:ascii="Arial" w:hAnsi="Arial" w:cs="Arial"/>
          <w:sz w:val="18"/>
          <w:szCs w:val="18"/>
        </w:rPr>
        <w:t>в) пени и штрафы, взимаемые за наруше</w:t>
      </w:r>
      <w:r>
        <w:rPr>
          <w:rFonts w:ascii="Arial" w:hAnsi="Arial" w:cs="Arial"/>
          <w:sz w:val="18"/>
          <w:szCs w:val="18"/>
        </w:rPr>
        <w:t>ние налогового законодательства</w:t>
      </w:r>
    </w:p>
    <w:p w:rsidR="00E76406" w:rsidRDefault="00E76406" w:rsidP="00E76406">
      <w:pPr>
        <w:pStyle w:val="1"/>
        <w:tabs>
          <w:tab w:val="clear" w:pos="709"/>
          <w:tab w:val="num" w:pos="3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Default="00E76406" w:rsidP="00E76406">
      <w:pPr>
        <w:pStyle w:val="1"/>
        <w:tabs>
          <w:tab w:val="clear" w:pos="709"/>
          <w:tab w:val="num" w:pos="3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</w:p>
    <w:p w:rsidR="00E76406" w:rsidRPr="00885342" w:rsidRDefault="00E76406" w:rsidP="00E76406">
      <w:pPr>
        <w:pStyle w:val="1"/>
        <w:tabs>
          <w:tab w:val="clear" w:pos="709"/>
          <w:tab w:val="num" w:pos="360"/>
        </w:tabs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u w:val="single"/>
        </w:rPr>
        <w:t>Задание 4</w:t>
      </w:r>
      <w:r w:rsidRPr="002458DB">
        <w:rPr>
          <w:rFonts w:ascii="Arial" w:hAnsi="Arial" w:cs="Arial"/>
          <w:i/>
          <w:sz w:val="18"/>
          <w:szCs w:val="18"/>
          <w:u w:val="single"/>
        </w:rPr>
        <w:t>.</w:t>
      </w:r>
      <w:r w:rsidRPr="002458DB">
        <w:rPr>
          <w:rFonts w:ascii="Arial" w:hAnsi="Arial" w:cs="Arial"/>
          <w:sz w:val="18"/>
          <w:szCs w:val="18"/>
        </w:rPr>
        <w:t xml:space="preserve"> </w:t>
      </w:r>
      <w:r w:rsidRPr="00080FED">
        <w:rPr>
          <w:rFonts w:ascii="Arial" w:hAnsi="Arial" w:cs="Arial"/>
          <w:sz w:val="18"/>
          <w:szCs w:val="18"/>
        </w:rPr>
        <w:t>Дайте расшифровку кода расходов бюджета:</w:t>
      </w:r>
      <w:r>
        <w:t xml:space="preserve"> </w:t>
      </w:r>
      <w:r w:rsidRPr="006D4AF8">
        <w:rPr>
          <w:rFonts w:ascii="Arial" w:hAnsi="Arial" w:cs="Arial"/>
          <w:b/>
          <w:sz w:val="20"/>
          <w:szCs w:val="20"/>
        </w:rPr>
        <w:t>103 04 09 1810399 823</w:t>
      </w:r>
    </w:p>
    <w:p w:rsidR="00E76406" w:rsidRDefault="00E76406" w:rsidP="00E76406">
      <w:pPr>
        <w:spacing w:line="216" w:lineRule="auto"/>
      </w:pPr>
    </w:p>
    <w:p w:rsidR="00E76406" w:rsidRPr="00071644" w:rsidRDefault="00E76406" w:rsidP="00E76406">
      <w:pPr>
        <w:spacing w:line="336" w:lineRule="auto"/>
        <w:rPr>
          <w:rFonts w:ascii="Arial" w:hAnsi="Arial" w:cs="Arial"/>
          <w:sz w:val="18"/>
          <w:szCs w:val="18"/>
        </w:rPr>
      </w:pPr>
      <w:r w:rsidRPr="00967B8B">
        <w:rPr>
          <w:rFonts w:ascii="Arial" w:hAnsi="Arial" w:cs="Arial"/>
          <w:i/>
          <w:sz w:val="18"/>
          <w:szCs w:val="18"/>
          <w:u w:val="single"/>
        </w:rPr>
        <w:t xml:space="preserve">Задание 5. </w:t>
      </w:r>
      <w:r w:rsidRPr="00071644">
        <w:rPr>
          <w:rFonts w:ascii="Arial" w:hAnsi="Arial" w:cs="Arial"/>
          <w:sz w:val="18"/>
          <w:szCs w:val="18"/>
        </w:rPr>
        <w:t>Задача.</w:t>
      </w:r>
    </w:p>
    <w:p w:rsidR="00E76406" w:rsidRPr="00152BD6" w:rsidRDefault="00E76406" w:rsidP="00E76406">
      <w:pPr>
        <w:spacing w:line="336" w:lineRule="auto"/>
        <w:ind w:firstLine="709"/>
        <w:rPr>
          <w:rFonts w:ascii="Arial" w:hAnsi="Arial" w:cs="Arial"/>
          <w:sz w:val="18"/>
          <w:szCs w:val="18"/>
        </w:rPr>
      </w:pPr>
      <w:r w:rsidRPr="00152BD6">
        <w:rPr>
          <w:rFonts w:ascii="Arial" w:hAnsi="Arial" w:cs="Arial"/>
          <w:sz w:val="18"/>
          <w:szCs w:val="18"/>
        </w:rPr>
        <w:t xml:space="preserve">Доходы местного бюджета </w:t>
      </w:r>
      <w:r>
        <w:rPr>
          <w:rFonts w:ascii="Arial" w:hAnsi="Arial" w:cs="Arial"/>
          <w:sz w:val="18"/>
          <w:szCs w:val="18"/>
        </w:rPr>
        <w:t>- 51 570</w:t>
      </w:r>
      <w:r w:rsidRPr="00152BD6">
        <w:rPr>
          <w:rFonts w:ascii="Arial" w:hAnsi="Arial" w:cs="Arial"/>
          <w:sz w:val="18"/>
          <w:szCs w:val="18"/>
        </w:rPr>
        <w:t xml:space="preserve"> 000 тыс. руб., в том числе </w:t>
      </w:r>
      <w:r>
        <w:rPr>
          <w:rFonts w:ascii="Arial" w:hAnsi="Arial" w:cs="Arial"/>
          <w:sz w:val="18"/>
          <w:szCs w:val="18"/>
        </w:rPr>
        <w:t>субвенции и субсидии с удельным в</w:t>
      </w:r>
      <w:r>
        <w:rPr>
          <w:rFonts w:ascii="Arial" w:hAnsi="Arial" w:cs="Arial"/>
          <w:sz w:val="18"/>
          <w:szCs w:val="18"/>
        </w:rPr>
        <w:t>е</w:t>
      </w:r>
      <w:r>
        <w:rPr>
          <w:rFonts w:ascii="Arial" w:hAnsi="Arial" w:cs="Arial"/>
          <w:sz w:val="18"/>
          <w:szCs w:val="18"/>
        </w:rPr>
        <w:t>сом 11,75</w:t>
      </w:r>
      <w:r w:rsidRPr="00152BD6">
        <w:rPr>
          <w:rFonts w:ascii="Arial" w:hAnsi="Arial" w:cs="Arial"/>
          <w:sz w:val="18"/>
          <w:szCs w:val="18"/>
        </w:rPr>
        <w:t>%, сумма НДФЛ по дополнительным нормативам отчислений – 1</w:t>
      </w:r>
      <w:r>
        <w:rPr>
          <w:rFonts w:ascii="Arial" w:hAnsi="Arial" w:cs="Arial"/>
          <w:sz w:val="18"/>
          <w:szCs w:val="18"/>
        </w:rPr>
        <w:t> 910 450 тыс. руб. Расходы - 53 425</w:t>
      </w:r>
      <w:r w:rsidRPr="00152BD6">
        <w:rPr>
          <w:rFonts w:ascii="Arial" w:hAnsi="Arial" w:cs="Arial"/>
          <w:sz w:val="18"/>
          <w:szCs w:val="18"/>
        </w:rPr>
        <w:t> 000 тыс. руб.</w:t>
      </w:r>
      <w:r>
        <w:rPr>
          <w:rFonts w:ascii="Arial" w:hAnsi="Arial" w:cs="Arial"/>
          <w:sz w:val="18"/>
          <w:szCs w:val="18"/>
        </w:rPr>
        <w:t xml:space="preserve">, в том числе расходы, финансируемые за счет субвенций 4 610 250 тыс. руб., резервный фонд местной администрации 1 140 500 тыс. руб. </w:t>
      </w:r>
      <w:r w:rsidRPr="00152BD6">
        <w:rPr>
          <w:rFonts w:ascii="Arial" w:hAnsi="Arial" w:cs="Arial"/>
          <w:sz w:val="18"/>
          <w:szCs w:val="18"/>
        </w:rPr>
        <w:t xml:space="preserve">Определить, соответствует ли размер дефицита местного бюджета </w:t>
      </w:r>
      <w:r>
        <w:rPr>
          <w:rFonts w:ascii="Arial" w:hAnsi="Arial" w:cs="Arial"/>
          <w:sz w:val="18"/>
          <w:szCs w:val="18"/>
        </w:rPr>
        <w:t xml:space="preserve">и резервного фонда </w:t>
      </w:r>
      <w:r w:rsidRPr="00152BD6">
        <w:rPr>
          <w:rFonts w:ascii="Arial" w:hAnsi="Arial" w:cs="Arial"/>
          <w:sz w:val="18"/>
          <w:szCs w:val="18"/>
        </w:rPr>
        <w:t xml:space="preserve">требованиям Бюджетного кодекса РФ? </w:t>
      </w:r>
      <w:r>
        <w:rPr>
          <w:rFonts w:ascii="Arial" w:hAnsi="Arial" w:cs="Arial"/>
          <w:sz w:val="18"/>
          <w:szCs w:val="18"/>
        </w:rPr>
        <w:t>Определить предельный объем расх</w:t>
      </w:r>
      <w:r>
        <w:rPr>
          <w:rFonts w:ascii="Arial" w:hAnsi="Arial" w:cs="Arial"/>
          <w:sz w:val="18"/>
          <w:szCs w:val="18"/>
        </w:rPr>
        <w:t>о</w:t>
      </w:r>
      <w:r>
        <w:rPr>
          <w:rFonts w:ascii="Arial" w:hAnsi="Arial" w:cs="Arial"/>
          <w:sz w:val="18"/>
          <w:szCs w:val="18"/>
        </w:rPr>
        <w:t>дов на обслуживание муниципального долга.</w:t>
      </w:r>
    </w:p>
    <w:p w:rsidR="00E76406" w:rsidRDefault="00E76406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76406" w:rsidRDefault="00E764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7BB0" w:rsidRPr="002A19FA" w:rsidRDefault="00AB7BB0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lastRenderedPageBreak/>
        <w:t>Регламентация и анализ результатов контрольной деятельности Сче</w:t>
      </w:r>
      <w:r w:rsidRPr="002A19FA">
        <w:rPr>
          <w:rFonts w:ascii="Times New Roman" w:hAnsi="Times New Roman" w:cs="Times New Roman"/>
          <w:sz w:val="28"/>
          <w:szCs w:val="28"/>
        </w:rPr>
        <w:t>т</w:t>
      </w:r>
      <w:r w:rsidRPr="002A19FA">
        <w:rPr>
          <w:rFonts w:ascii="Times New Roman" w:hAnsi="Times New Roman" w:cs="Times New Roman"/>
          <w:sz w:val="28"/>
          <w:szCs w:val="28"/>
        </w:rPr>
        <w:t>ной палаты РФ.</w:t>
      </w:r>
    </w:p>
    <w:p w:rsidR="00AB7BB0" w:rsidRPr="002A19FA" w:rsidRDefault="00AB7BB0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3FCD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Счетная палата является постоянно действующим высшим органом внешнего государственного аудита (контроля), образуемым в порядке, уст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новленном Федеральным законом «О Счетной палате РФ» от 05.04.2013 г. № 41-ФЗ (ред. от 23.07.2013), и подотчетным Федеральному Собранию</w:t>
      </w:r>
      <w:r w:rsidR="00623FCD">
        <w:rPr>
          <w:rFonts w:ascii="Times New Roman" w:hAnsi="Times New Roman" w:cs="Times New Roman"/>
          <w:sz w:val="28"/>
          <w:szCs w:val="28"/>
        </w:rPr>
        <w:t xml:space="preserve"> и </w:t>
      </w:r>
      <w:r w:rsidR="00623FCD" w:rsidRPr="00623FCD">
        <w:rPr>
          <w:rFonts w:ascii="Times New Roman" w:hAnsi="Times New Roman" w:cs="Times New Roman"/>
          <w:sz w:val="28"/>
          <w:szCs w:val="28"/>
        </w:rPr>
        <w:t>строи</w:t>
      </w:r>
      <w:r w:rsidR="00623FCD">
        <w:rPr>
          <w:rFonts w:ascii="Times New Roman" w:hAnsi="Times New Roman" w:cs="Times New Roman"/>
          <w:sz w:val="28"/>
          <w:szCs w:val="28"/>
        </w:rPr>
        <w:t>т</w:t>
      </w:r>
      <w:r w:rsidR="00623FCD" w:rsidRPr="00623FCD">
        <w:rPr>
          <w:rFonts w:ascii="Times New Roman" w:hAnsi="Times New Roman" w:cs="Times New Roman"/>
          <w:sz w:val="28"/>
          <w:szCs w:val="28"/>
        </w:rPr>
        <w:t xml:space="preserve"> свою работу в соответствии с целями и задачами, возложенными на нее Ко</w:t>
      </w:r>
      <w:r w:rsidR="00623FCD" w:rsidRPr="00623FCD">
        <w:rPr>
          <w:rFonts w:ascii="Times New Roman" w:hAnsi="Times New Roman" w:cs="Times New Roman"/>
          <w:sz w:val="28"/>
          <w:szCs w:val="28"/>
        </w:rPr>
        <w:t>н</w:t>
      </w:r>
      <w:r w:rsidR="00623FCD" w:rsidRPr="00623FCD">
        <w:rPr>
          <w:rFonts w:ascii="Times New Roman" w:hAnsi="Times New Roman" w:cs="Times New Roman"/>
          <w:sz w:val="28"/>
          <w:szCs w:val="28"/>
        </w:rPr>
        <w:t>ституцией Российской Федерации</w:t>
      </w:r>
      <w:r w:rsidR="00623FCD">
        <w:rPr>
          <w:rFonts w:ascii="Times New Roman" w:hAnsi="Times New Roman" w:cs="Times New Roman"/>
          <w:sz w:val="28"/>
          <w:szCs w:val="28"/>
        </w:rPr>
        <w:t xml:space="preserve"> и</w:t>
      </w:r>
      <w:r w:rsidR="00623FCD" w:rsidRPr="00623FCD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</w:t>
      </w:r>
      <w:r w:rsidR="00623FCD" w:rsidRPr="00623FCD">
        <w:rPr>
          <w:rFonts w:ascii="Times New Roman" w:hAnsi="Times New Roman" w:cs="Times New Roman"/>
          <w:sz w:val="28"/>
          <w:szCs w:val="28"/>
        </w:rPr>
        <w:t>е</w:t>
      </w:r>
      <w:r w:rsidR="00623FCD" w:rsidRPr="00623FCD">
        <w:rPr>
          <w:rFonts w:ascii="Times New Roman" w:hAnsi="Times New Roman" w:cs="Times New Roman"/>
          <w:sz w:val="28"/>
          <w:szCs w:val="28"/>
        </w:rPr>
        <w:t>рации</w:t>
      </w:r>
      <w:r w:rsidR="007921A2" w:rsidRPr="007921A2">
        <w:rPr>
          <w:rFonts w:ascii="Times New Roman" w:hAnsi="Times New Roman" w:cs="Times New Roman"/>
          <w:sz w:val="28"/>
          <w:szCs w:val="28"/>
        </w:rPr>
        <w:t xml:space="preserve"> [1]</w:t>
      </w:r>
      <w:r w:rsidR="00623FCD">
        <w:rPr>
          <w:rFonts w:ascii="Times New Roman" w:hAnsi="Times New Roman" w:cs="Times New Roman"/>
          <w:sz w:val="28"/>
          <w:szCs w:val="28"/>
        </w:rPr>
        <w:t>.</w:t>
      </w:r>
    </w:p>
    <w:p w:rsidR="00623FCD" w:rsidRPr="002A19FA" w:rsidRDefault="00623FCD" w:rsidP="00623F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Структура Счетной палаты представлена на </w:t>
      </w:r>
      <w:r>
        <w:rPr>
          <w:sz w:val="28"/>
          <w:szCs w:val="28"/>
        </w:rPr>
        <w:t>рис. 1.</w:t>
      </w:r>
    </w:p>
    <w:p w:rsidR="00623FCD" w:rsidRDefault="00623FCD" w:rsidP="00113EC6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2A19FA">
        <w:rPr>
          <w:noProof/>
          <w:sz w:val="28"/>
          <w:szCs w:val="28"/>
          <w:lang w:eastAsia="ru-RU"/>
        </w:rPr>
        <w:drawing>
          <wp:inline distT="0" distB="0" distL="0" distR="0">
            <wp:extent cx="4875447" cy="2706329"/>
            <wp:effectExtent l="19050" t="0" r="1353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3" t="3922" r="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373" cy="2708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FCD" w:rsidRDefault="00623FCD" w:rsidP="00623FCD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1. Структура Счетной палаты.</w:t>
      </w:r>
    </w:p>
    <w:p w:rsidR="00623FCD" w:rsidRPr="002A19FA" w:rsidRDefault="00623FCD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</w:p>
    <w:p w:rsidR="00AB7BB0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Осуществляя свою деятельность самостоятельно, Счетная палата обл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дает организационной, функциональной, а также финансовой независимостью, поэтому ее деятельность не может быть приостановлена, в том числе в связи с досрочным прекращением полномочий палат Федерального Собрания.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Во исполнение Федерального закона от 5 апреля 2013 г. № 41-ФЗ «О Счетной палате Российской Федерации» утверждается Регламент Счетной палаты Российской Федерации, который определяет: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а) вопросы деятельности Счетной палаты Российской;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lastRenderedPageBreak/>
        <w:t xml:space="preserve">б) распределение обязанностей между аудиторами Счетной палаты;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в) содержание направлений деятельности Счетной палаты, возглавля</w:t>
      </w:r>
      <w:r w:rsidRPr="002A19FA">
        <w:rPr>
          <w:sz w:val="28"/>
          <w:szCs w:val="28"/>
        </w:rPr>
        <w:t>е</w:t>
      </w:r>
      <w:r w:rsidRPr="002A19FA">
        <w:rPr>
          <w:sz w:val="28"/>
          <w:szCs w:val="28"/>
        </w:rPr>
        <w:t xml:space="preserve">мых аудиторами Счетной палаты;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г) функции и взаимодействие структурных подразделений аппарата Счетной палаты;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д) порядок ведения дел в Счетной палате.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Регламент состоит из основного текста и следующих приложений: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приложение № 1 «Распределение обязанностей между аудиторами Счетной палаты Российской Федерации»;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- приложение № 2 «Содержание направлений деятельности Счетной палаты, возглавляемых аудиторами Счетной палаты»;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- приложение № 3 «Инструкция по делопроизводству в Счетной палате Российской Федерации»;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приложение № 4 «Содержание направления деятельности Счетной палаты, возглавляемого заместителем Председателя Счетной палаты Росси</w:t>
      </w:r>
      <w:r w:rsidRPr="002A19FA">
        <w:rPr>
          <w:sz w:val="28"/>
          <w:szCs w:val="28"/>
        </w:rPr>
        <w:t>й</w:t>
      </w:r>
      <w:r w:rsidRPr="002A19FA">
        <w:rPr>
          <w:sz w:val="28"/>
          <w:szCs w:val="28"/>
        </w:rPr>
        <w:t>ской Федерации»</w:t>
      </w:r>
      <w:r w:rsidR="007921A2">
        <w:rPr>
          <w:sz w:val="28"/>
          <w:szCs w:val="28"/>
        </w:rPr>
        <w:t xml:space="preserve"> </w:t>
      </w:r>
      <w:r w:rsidR="007921A2" w:rsidRPr="007921A2">
        <w:rPr>
          <w:sz w:val="28"/>
          <w:szCs w:val="28"/>
        </w:rPr>
        <w:t>[</w:t>
      </w:r>
      <w:r w:rsidR="007921A2">
        <w:rPr>
          <w:sz w:val="28"/>
          <w:szCs w:val="28"/>
        </w:rPr>
        <w:t>4</w:t>
      </w:r>
      <w:r w:rsidR="007921A2" w:rsidRPr="007921A2">
        <w:rPr>
          <w:sz w:val="28"/>
          <w:szCs w:val="28"/>
        </w:rPr>
        <w:t>]</w:t>
      </w:r>
      <w:r w:rsidRPr="002A19FA">
        <w:rPr>
          <w:sz w:val="28"/>
          <w:szCs w:val="28"/>
        </w:rPr>
        <w:t xml:space="preserve">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Данные приложения являются обязательными к исполнению, наравне с положениями основного текста Регламента.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В связи с осуществлением своей деятельности, Счетная палата опир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>ется на принципы законности, эффективности, объективности, независим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 xml:space="preserve">сти, открытости и гласности.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Принцип законности означает строгое и точное соблюдение всеми с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 xml:space="preserve">трудниками Счетной палаты законодательства Российской Федерации при реализации возложенных на них полномочий.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Принцип эффективности означает, что выбор способов и методов до</w:t>
      </w:r>
      <w:r w:rsidRPr="002A19FA">
        <w:rPr>
          <w:sz w:val="28"/>
          <w:szCs w:val="28"/>
        </w:rPr>
        <w:t>с</w:t>
      </w:r>
      <w:r w:rsidRPr="002A19FA">
        <w:rPr>
          <w:sz w:val="28"/>
          <w:szCs w:val="28"/>
        </w:rPr>
        <w:t>тижения целей внешнего государственного аудита (контроля) должен осн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 xml:space="preserve">вываться на необходимости достижения целей контрольных и экспертно-аналитических мероприятий с наименьшими затратами сил и средств.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Принцип объективности предполагает недопущение предвзятости или предубежденности в отношении наличия (отсутствия) негативных аспектов в </w:t>
      </w:r>
      <w:r w:rsidRPr="002A19FA">
        <w:rPr>
          <w:sz w:val="28"/>
          <w:szCs w:val="28"/>
        </w:rPr>
        <w:lastRenderedPageBreak/>
        <w:t>деятельности объектов аудита (контроля), исключение каких-либо корыс</w:t>
      </w:r>
      <w:r w:rsidRPr="002A19FA">
        <w:rPr>
          <w:sz w:val="28"/>
          <w:szCs w:val="28"/>
        </w:rPr>
        <w:t>т</w:t>
      </w:r>
      <w:r w:rsidRPr="002A19FA">
        <w:rPr>
          <w:sz w:val="28"/>
          <w:szCs w:val="28"/>
        </w:rPr>
        <w:t>ных и иных подобных мотивов при проведении контрольных и экспертно-аналитических мероприятий; беспристрастность и обоснованность выводов по результатам контрольных и экспертно-аналитических мероприятий, по</w:t>
      </w:r>
      <w:r w:rsidRPr="002A19FA">
        <w:rPr>
          <w:sz w:val="28"/>
          <w:szCs w:val="28"/>
        </w:rPr>
        <w:t>д</w:t>
      </w:r>
      <w:r w:rsidRPr="002A19FA">
        <w:rPr>
          <w:sz w:val="28"/>
          <w:szCs w:val="28"/>
        </w:rPr>
        <w:t>тверждение их данными, содержащими достоверную и официальную инфо</w:t>
      </w:r>
      <w:r w:rsidRPr="002A19FA">
        <w:rPr>
          <w:sz w:val="28"/>
          <w:szCs w:val="28"/>
        </w:rPr>
        <w:t>р</w:t>
      </w:r>
      <w:r w:rsidRPr="002A19FA">
        <w:rPr>
          <w:sz w:val="28"/>
          <w:szCs w:val="28"/>
        </w:rPr>
        <w:t xml:space="preserve">мацию.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Принцип независимости означает, что сотрудники Счетной палаты в своей деятельности независимы от объектов аудита (контроля), каких-либо органов и должностных лиц. При проведении контрольных и экспертно-аналитических мероприятий они руководствуются Конституцией Российской Федерации, международными договорами Российской Федерации, федерал</w:t>
      </w:r>
      <w:r w:rsidRPr="002A19FA">
        <w:rPr>
          <w:sz w:val="28"/>
          <w:szCs w:val="28"/>
        </w:rPr>
        <w:t>ь</w:t>
      </w:r>
      <w:r w:rsidRPr="002A19FA">
        <w:rPr>
          <w:sz w:val="28"/>
          <w:szCs w:val="28"/>
        </w:rPr>
        <w:t>ными законами, международно-правовыми принципами независимого аудита (контроля), решениями Счетной палаты.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Принцип открытости означает полное и своевременное ознакомление должностных лиц объектов аудита (контроля) с целями и результатами ко</w:t>
      </w:r>
      <w:r w:rsidRPr="002A19FA">
        <w:rPr>
          <w:sz w:val="28"/>
          <w:szCs w:val="28"/>
        </w:rPr>
        <w:t>н</w:t>
      </w:r>
      <w:r w:rsidRPr="002A19FA">
        <w:rPr>
          <w:sz w:val="28"/>
          <w:szCs w:val="28"/>
        </w:rPr>
        <w:t>трольных и экспертно-аналитических мероприятий. Соблюдение данного принципа не предусматривает предание гласности промежуточных результ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>тов контрольных и экспертно-аналитических мероприятий, а также матери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>лов, содержащих сведения, составляющие государственную или иную охр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 xml:space="preserve">няемую законом тайну. </w:t>
      </w:r>
    </w:p>
    <w:p w:rsidR="00AB7BB0" w:rsidRPr="007921A2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Принцип гласности означает, что утвержденные Коллегией отчеты о результатах контрольных и экспертно-аналитических мероприятий, а также документы, разрабатываемые Счетной палатой в рамках выполнения возл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>женных на нее задач, за исключением материалов, содержащих сведения, с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>ставляющие государственную или иную охраняемую законом тайну, могут публиковаться для всеобщего сведения, в том числе на официальном сайте Счетной палаты в сети Интернет. Информация о деятельности Счетной пал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>ты распространяется через средства массовой информации в установленном законом порядке</w:t>
      </w:r>
      <w:r w:rsidR="007921A2">
        <w:rPr>
          <w:sz w:val="28"/>
          <w:szCs w:val="28"/>
        </w:rPr>
        <w:t xml:space="preserve"> </w:t>
      </w:r>
      <w:r w:rsidR="007921A2" w:rsidRPr="007921A2">
        <w:rPr>
          <w:sz w:val="28"/>
          <w:szCs w:val="28"/>
        </w:rPr>
        <w:t>[4].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lastRenderedPageBreak/>
        <w:t>Счетная палата разрабатывает и утверждает в установленном порядке общие требования к стандартам внешнего государственного и муниципал</w:t>
      </w:r>
      <w:r w:rsidRPr="002A19FA">
        <w:rPr>
          <w:sz w:val="28"/>
          <w:szCs w:val="28"/>
        </w:rPr>
        <w:t>ь</w:t>
      </w:r>
      <w:r w:rsidRPr="002A19FA">
        <w:rPr>
          <w:sz w:val="28"/>
          <w:szCs w:val="28"/>
        </w:rPr>
        <w:t>ного аудита (контроля) для проведения контрольных мероприятий контрол</w:t>
      </w:r>
      <w:r w:rsidRPr="002A19FA">
        <w:rPr>
          <w:sz w:val="28"/>
          <w:szCs w:val="28"/>
        </w:rPr>
        <w:t>ь</w:t>
      </w:r>
      <w:r w:rsidRPr="002A19FA">
        <w:rPr>
          <w:sz w:val="28"/>
          <w:szCs w:val="28"/>
        </w:rPr>
        <w:t xml:space="preserve">но-счетными органами субъектов Российской Федерации и муниципальных образований.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Контрольные мероприятия проводятся на основании утвержденного Коллегией годового плана работы Счетной палаты и при наличии утве</w:t>
      </w:r>
      <w:r w:rsidRPr="002A19FA">
        <w:rPr>
          <w:sz w:val="28"/>
          <w:szCs w:val="28"/>
        </w:rPr>
        <w:t>р</w:t>
      </w:r>
      <w:r w:rsidRPr="002A19FA">
        <w:rPr>
          <w:sz w:val="28"/>
          <w:szCs w:val="28"/>
        </w:rPr>
        <w:t xml:space="preserve">жденных программ.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Программы контрольных мероприятий, проводимых Счетной палатой по поручениям Совета Федерации и Государственной Думы, обращениям не менее одной пятой от общего числа членов Совета Федерации или депутатов Государственной Думы, утверждаются Коллегией</w:t>
      </w:r>
      <w:r w:rsidR="007921A2">
        <w:rPr>
          <w:sz w:val="28"/>
          <w:szCs w:val="28"/>
        </w:rPr>
        <w:t xml:space="preserve"> </w:t>
      </w:r>
      <w:r w:rsidR="007921A2" w:rsidRPr="007921A2">
        <w:rPr>
          <w:sz w:val="28"/>
          <w:szCs w:val="28"/>
        </w:rPr>
        <w:t>[2]</w:t>
      </w:r>
      <w:r w:rsidRPr="002A19FA">
        <w:rPr>
          <w:sz w:val="28"/>
          <w:szCs w:val="28"/>
        </w:rPr>
        <w:t xml:space="preserve">. </w:t>
      </w:r>
    </w:p>
    <w:p w:rsidR="006B02E2" w:rsidRDefault="006B02E2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Объем контрольных полномочий Счетной палаты представлен на рис.</w:t>
      </w:r>
      <w:r w:rsidR="0025181C">
        <w:rPr>
          <w:sz w:val="28"/>
          <w:szCs w:val="28"/>
        </w:rPr>
        <w:t xml:space="preserve"> 2.</w:t>
      </w:r>
    </w:p>
    <w:p w:rsidR="00440BBD" w:rsidRPr="002A19FA" w:rsidRDefault="00440BBD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6B02E2" w:rsidRDefault="006B02E2" w:rsidP="002F2D31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2A19FA">
        <w:rPr>
          <w:noProof/>
          <w:sz w:val="28"/>
          <w:szCs w:val="28"/>
          <w:lang w:eastAsia="ru-RU"/>
        </w:rPr>
        <w:drawing>
          <wp:inline distT="0" distB="0" distL="0" distR="0">
            <wp:extent cx="5578217" cy="2816942"/>
            <wp:effectExtent l="19050" t="0" r="3433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40" t="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973" cy="2815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Default="0025181C" w:rsidP="0025181C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2. Контрольные полномочия Счетной палаты РФ</w:t>
      </w:r>
      <w:r w:rsidR="007921A2" w:rsidRPr="007921A2">
        <w:rPr>
          <w:sz w:val="28"/>
          <w:szCs w:val="28"/>
        </w:rPr>
        <w:t xml:space="preserve"> [4]</w:t>
      </w:r>
      <w:r>
        <w:rPr>
          <w:sz w:val="28"/>
          <w:szCs w:val="28"/>
        </w:rPr>
        <w:t>.</w:t>
      </w:r>
    </w:p>
    <w:p w:rsidR="0025181C" w:rsidRPr="002A19FA" w:rsidRDefault="0025181C" w:rsidP="0025181C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Проверка начинается с предварительного изучения объектов контроля, определения целей и предмета контрольного мероприятия, подготовки его программы и рабочего плана.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lastRenderedPageBreak/>
        <w:t>Проведение контрольного мероприятия оформляется распоряжением Председателя Счетной палаты, а в случае его отсутствия – распоряжением заместителя Председателя Счетной палаты в порядке, предусмотренном И</w:t>
      </w:r>
      <w:r w:rsidRPr="002A19FA">
        <w:rPr>
          <w:sz w:val="28"/>
          <w:szCs w:val="28"/>
        </w:rPr>
        <w:t>н</w:t>
      </w:r>
      <w:r w:rsidRPr="002A19FA">
        <w:rPr>
          <w:sz w:val="28"/>
          <w:szCs w:val="28"/>
        </w:rPr>
        <w:t xml:space="preserve">струкцией по делопроизводству в Счетной палате Российской Федерации </w:t>
      </w:r>
      <w:r w:rsidR="00946EBD" w:rsidRPr="002A19FA">
        <w:rPr>
          <w:sz w:val="28"/>
          <w:szCs w:val="28"/>
        </w:rPr>
        <w:t>.</w:t>
      </w:r>
      <w:r w:rsidRPr="002A19FA">
        <w:rPr>
          <w:sz w:val="28"/>
          <w:szCs w:val="28"/>
        </w:rPr>
        <w:t xml:space="preserve">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К лицам, наделенным правом проведения контрольных мероприятий, относятся директора департаментов Счетной палаты, начальники инспекций и их заместители, инспекторы и иные сотрудники аппарата Счетной палаты.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На основании распоряжения о проведении контрольного мероприятия инспекторам и иным сотрудникам аппарата Счетной палаты, а также лицам,  привлеченным к контрольным мероприятиям, оформляются удостоверения на право проведения контрольного мероприятия. </w:t>
      </w:r>
    </w:p>
    <w:p w:rsidR="00AB7BB0" w:rsidRPr="002A19FA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В ходе осуществления своей деятельности Счетная палата осуществляет предварительный, оперативный и последующий контроль.</w:t>
      </w:r>
    </w:p>
    <w:p w:rsidR="00AB7BB0" w:rsidRPr="002A19FA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В рамках предварительного аудита формирования федерального бюдж</w:t>
      </w:r>
      <w:r w:rsidRPr="002A19FA">
        <w:rPr>
          <w:rFonts w:ascii="Times New Roman" w:hAnsi="Times New Roman" w:cs="Times New Roman"/>
          <w:sz w:val="28"/>
          <w:szCs w:val="28"/>
        </w:rPr>
        <w:t>е</w:t>
      </w:r>
      <w:r w:rsidRPr="002A19FA">
        <w:rPr>
          <w:rFonts w:ascii="Times New Roman" w:hAnsi="Times New Roman" w:cs="Times New Roman"/>
          <w:sz w:val="28"/>
          <w:szCs w:val="28"/>
        </w:rPr>
        <w:t>та и бюджетов государственных внебюджетных фондов Российской Федер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ции Счетная палата осуществляет комплекс контрольных мероприятий, пр</w:t>
      </w:r>
      <w:r w:rsidRPr="002A19FA">
        <w:rPr>
          <w:rFonts w:ascii="Times New Roman" w:hAnsi="Times New Roman" w:cs="Times New Roman"/>
          <w:sz w:val="28"/>
          <w:szCs w:val="28"/>
        </w:rPr>
        <w:t>о</w:t>
      </w:r>
      <w:r w:rsidRPr="002A19FA">
        <w:rPr>
          <w:rFonts w:ascii="Times New Roman" w:hAnsi="Times New Roman" w:cs="Times New Roman"/>
          <w:sz w:val="28"/>
          <w:szCs w:val="28"/>
        </w:rPr>
        <w:t>верку и анализ обоснованности показателей проектов федерального бюджета и бюджетов государственных внебюджетных фондов Российской Федерации, наличия и состояния нормативной методической базы их формирования, оценку проектов федерального бюджета и бюджетов государственных вн</w:t>
      </w:r>
      <w:r w:rsidRPr="002A19FA">
        <w:rPr>
          <w:rFonts w:ascii="Times New Roman" w:hAnsi="Times New Roman" w:cs="Times New Roman"/>
          <w:sz w:val="28"/>
          <w:szCs w:val="28"/>
        </w:rPr>
        <w:t>е</w:t>
      </w:r>
      <w:r w:rsidRPr="002A19FA">
        <w:rPr>
          <w:rFonts w:ascii="Times New Roman" w:hAnsi="Times New Roman" w:cs="Times New Roman"/>
          <w:sz w:val="28"/>
          <w:szCs w:val="28"/>
        </w:rPr>
        <w:t xml:space="preserve">бюджетных фондов Российской Федерации. </w:t>
      </w:r>
    </w:p>
    <w:p w:rsidR="00AB7BB0" w:rsidRPr="002A19FA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В рамках оперативного аудита Счетная палата ежеквартально предста</w:t>
      </w:r>
      <w:r w:rsidRPr="002A19FA">
        <w:rPr>
          <w:rFonts w:ascii="Times New Roman" w:hAnsi="Times New Roman" w:cs="Times New Roman"/>
          <w:sz w:val="28"/>
          <w:szCs w:val="28"/>
        </w:rPr>
        <w:t>в</w:t>
      </w:r>
      <w:r w:rsidRPr="002A19FA">
        <w:rPr>
          <w:rFonts w:ascii="Times New Roman" w:hAnsi="Times New Roman" w:cs="Times New Roman"/>
          <w:sz w:val="28"/>
          <w:szCs w:val="28"/>
        </w:rPr>
        <w:t>ляет палатам Федерального Собрания доклад о ходе исполнения федерального бюджета, в котором приводится анализ данных о доходах, расходах и об и</w:t>
      </w:r>
      <w:r w:rsidRPr="002A19FA">
        <w:rPr>
          <w:rFonts w:ascii="Times New Roman" w:hAnsi="Times New Roman" w:cs="Times New Roman"/>
          <w:sz w:val="28"/>
          <w:szCs w:val="28"/>
        </w:rPr>
        <w:t>с</w:t>
      </w:r>
      <w:r w:rsidRPr="002A19FA">
        <w:rPr>
          <w:rFonts w:ascii="Times New Roman" w:hAnsi="Times New Roman" w:cs="Times New Roman"/>
          <w:sz w:val="28"/>
          <w:szCs w:val="28"/>
        </w:rPr>
        <w:t>точниках финансирования дефицита федерального бюджета.</w:t>
      </w:r>
    </w:p>
    <w:p w:rsidR="006B02E2" w:rsidRPr="002A19FA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В рамках последующего аудита Счетная палата осуществляет комплекс контрольных мероприятий по проверке исполнения федерального закона о федеральном бюджете и бюджетах государственных внебюджетных фондов Российской Федерации в отчетном финансовом году</w:t>
      </w:r>
      <w:r w:rsidR="007921A2" w:rsidRPr="007921A2">
        <w:rPr>
          <w:rFonts w:ascii="Times New Roman" w:hAnsi="Times New Roman" w:cs="Times New Roman"/>
          <w:sz w:val="28"/>
          <w:szCs w:val="28"/>
        </w:rPr>
        <w:t xml:space="preserve"> [2]</w:t>
      </w:r>
      <w:r w:rsidRPr="002A19FA">
        <w:rPr>
          <w:rFonts w:ascii="Times New Roman" w:hAnsi="Times New Roman" w:cs="Times New Roman"/>
          <w:sz w:val="28"/>
          <w:szCs w:val="28"/>
        </w:rPr>
        <w:t>.</w:t>
      </w:r>
    </w:p>
    <w:p w:rsidR="006B02E2" w:rsidRDefault="006B02E2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lastRenderedPageBreak/>
        <w:t xml:space="preserve">Например, </w:t>
      </w:r>
      <w:r w:rsidRPr="002A19FA">
        <w:rPr>
          <w:rFonts w:ascii="Times New Roman" w:hAnsi="Times New Roman"/>
          <w:sz w:val="28"/>
          <w:szCs w:val="28"/>
        </w:rPr>
        <w:t>в</w:t>
      </w:r>
      <w:r w:rsidRPr="002A19FA">
        <w:rPr>
          <w:rFonts w:ascii="Times New Roman" w:hAnsi="Times New Roman" w:cs="Times New Roman"/>
          <w:sz w:val="28"/>
          <w:szCs w:val="28"/>
        </w:rPr>
        <w:t xml:space="preserve"> 2012 году Счетная палата одно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временно осущест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вляла ко</w:t>
      </w:r>
      <w:r w:rsidRPr="002A19FA">
        <w:rPr>
          <w:rFonts w:ascii="Times New Roman" w:hAnsi="Times New Roman" w:cs="Times New Roman"/>
          <w:sz w:val="28"/>
          <w:szCs w:val="28"/>
        </w:rPr>
        <w:t>н</w:t>
      </w:r>
      <w:r w:rsidRPr="002A19FA">
        <w:rPr>
          <w:rFonts w:ascii="Times New Roman" w:hAnsi="Times New Roman" w:cs="Times New Roman"/>
          <w:sz w:val="28"/>
          <w:szCs w:val="28"/>
        </w:rPr>
        <w:t>троль фе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дерального бюджета и бюджетов государственных внебюджетных фондов: на 2013 год и на плановый пери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од 2014 и 2015 годов (на стадии фо</w:t>
      </w:r>
      <w:r w:rsidRPr="002A19FA">
        <w:rPr>
          <w:rFonts w:ascii="Times New Roman" w:hAnsi="Times New Roman" w:cs="Times New Roman"/>
          <w:sz w:val="28"/>
          <w:szCs w:val="28"/>
        </w:rPr>
        <w:t>р</w:t>
      </w:r>
      <w:r w:rsidRPr="002A19FA">
        <w:rPr>
          <w:rFonts w:ascii="Times New Roman" w:hAnsi="Times New Roman" w:cs="Times New Roman"/>
          <w:sz w:val="28"/>
          <w:szCs w:val="28"/>
        </w:rPr>
        <w:t>мирования), на 2012 год (текущее исполнение) и за 2011 год (исполне</w:t>
      </w:r>
      <w:r w:rsidR="0025181C">
        <w:rPr>
          <w:rFonts w:ascii="Times New Roman" w:hAnsi="Times New Roman" w:cs="Times New Roman"/>
          <w:sz w:val="28"/>
          <w:szCs w:val="28"/>
        </w:rPr>
        <w:t>ние за отчетный финансовый год) (рис. 3.).</w:t>
      </w:r>
    </w:p>
    <w:p w:rsidR="00440BBD" w:rsidRPr="002A19FA" w:rsidRDefault="00440BBD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</w:p>
    <w:p w:rsidR="006B02E2" w:rsidRDefault="006B02E2" w:rsidP="002F2D31">
      <w:pPr>
        <w:tabs>
          <w:tab w:val="left" w:pos="142"/>
          <w:tab w:val="left" w:pos="1276"/>
        </w:tabs>
        <w:ind w:right="-14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30" cy="28685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166" cy="2868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Default="0025181C" w:rsidP="0025181C">
      <w:pPr>
        <w:tabs>
          <w:tab w:val="left" w:pos="142"/>
          <w:tab w:val="left" w:pos="1276"/>
        </w:tabs>
        <w:ind w:right="-14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Осуществление контроля</w:t>
      </w:r>
      <w:r w:rsidR="007921A2" w:rsidRPr="00226544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81C" w:rsidRPr="002A19FA" w:rsidRDefault="0025181C" w:rsidP="0025181C">
      <w:pPr>
        <w:tabs>
          <w:tab w:val="left" w:pos="142"/>
          <w:tab w:val="left" w:pos="1276"/>
        </w:tabs>
        <w:ind w:right="-14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По результатам проведенных контрольных мероприятий инспекторы Счетной палаты, осуществляющие данные мероприятия, оформляют акты с отражением в них фактов выявленных нарушений и недостатков и ответов на поставленные в программе проверки вопросы. В случае если при проведении контрольного мероприятия даны ответы на поставленные программой пр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>верки вопросы и при этом нарушения и недостатки не выявлены, в акте дел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 xml:space="preserve">ется запись: «Нарушений не выявлено». </w:t>
      </w:r>
    </w:p>
    <w:p w:rsidR="00AB7BB0" w:rsidRPr="002A19FA" w:rsidRDefault="00AB7BB0" w:rsidP="002A19FA">
      <w:pPr>
        <w:pStyle w:val="Default"/>
        <w:spacing w:before="80"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Акт может оформляться как по результатам контрольного мероприятия в целом, так и по конкретному объекту (юридическому лицу), проверяемому в рамках контрольного мероприятия, а также по отдельным фактам, требу</w:t>
      </w:r>
      <w:r w:rsidRPr="002A19FA">
        <w:rPr>
          <w:sz w:val="28"/>
          <w:szCs w:val="28"/>
        </w:rPr>
        <w:t>ю</w:t>
      </w:r>
      <w:r w:rsidRPr="002A19FA">
        <w:rPr>
          <w:sz w:val="28"/>
          <w:szCs w:val="28"/>
        </w:rPr>
        <w:t>щим отражения в соответствии с программой проверки.</w:t>
      </w:r>
    </w:p>
    <w:p w:rsidR="00AB7BB0" w:rsidRPr="002A19FA" w:rsidRDefault="00AB7BB0" w:rsidP="002A19FA">
      <w:pPr>
        <w:pStyle w:val="Default"/>
        <w:spacing w:before="80"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lastRenderedPageBreak/>
        <w:t>При выявлении нарушений, требующих принятия незамедлительных мер по их устранению и безотлагательного пресечения противоправных де</w:t>
      </w:r>
      <w:r w:rsidRPr="002A19FA">
        <w:rPr>
          <w:sz w:val="28"/>
          <w:szCs w:val="28"/>
        </w:rPr>
        <w:t>й</w:t>
      </w:r>
      <w:r w:rsidRPr="002A19FA">
        <w:rPr>
          <w:sz w:val="28"/>
          <w:szCs w:val="28"/>
        </w:rPr>
        <w:t xml:space="preserve">ствий, инспекторы Счетной палаты осуществляют следующие действия: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- незамедлительно оформляют в двух экземплярах акт по выявленным нарушениям и вручают один экземпляр акта руководителю;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- требуют от руководителя письменного объяснения по выявленным нарушениям;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в письменном виде доводят информацию о выявленных нарушениях до руководителя контрольного мероприятия, который доводит эту информ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>цию до начальника соответствующей инспекции. Начальник инспекции и</w:t>
      </w:r>
      <w:r w:rsidRPr="002A19FA">
        <w:rPr>
          <w:sz w:val="28"/>
          <w:szCs w:val="28"/>
        </w:rPr>
        <w:t>н</w:t>
      </w:r>
      <w:r w:rsidRPr="002A19FA">
        <w:rPr>
          <w:sz w:val="28"/>
          <w:szCs w:val="28"/>
        </w:rPr>
        <w:t>формирует об этом директора департамента и аудитора Счетной палаты в ц</w:t>
      </w:r>
      <w:r w:rsidRPr="002A19FA">
        <w:rPr>
          <w:sz w:val="28"/>
          <w:szCs w:val="28"/>
        </w:rPr>
        <w:t>е</w:t>
      </w:r>
      <w:r w:rsidRPr="002A19FA">
        <w:rPr>
          <w:sz w:val="28"/>
          <w:szCs w:val="28"/>
        </w:rPr>
        <w:t>лях принятия срочных мер для пресечения противоправных действий, вкл</w:t>
      </w:r>
      <w:r w:rsidRPr="002A19FA">
        <w:rPr>
          <w:sz w:val="28"/>
          <w:szCs w:val="28"/>
        </w:rPr>
        <w:t>ю</w:t>
      </w:r>
      <w:r w:rsidRPr="002A19FA">
        <w:rPr>
          <w:sz w:val="28"/>
          <w:szCs w:val="28"/>
        </w:rPr>
        <w:t xml:space="preserve">чая обращение в правоохранительные органы.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 изложении в актах фактов выявленных нарушений должна обесп</w:t>
      </w:r>
      <w:r w:rsidRPr="002A19FA">
        <w:rPr>
          <w:sz w:val="28"/>
          <w:szCs w:val="28"/>
        </w:rPr>
        <w:t>е</w:t>
      </w:r>
      <w:r w:rsidRPr="002A19FA">
        <w:rPr>
          <w:sz w:val="28"/>
          <w:szCs w:val="28"/>
        </w:rPr>
        <w:t xml:space="preserve">чиваться объективность и точность описания их сущности со ссылкой на подлинные документы, подтверждающие достоверность записей в акте.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Акты подписывают все лица, участвовавшие в проведении контрольн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 xml:space="preserve">го мероприятия.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По фактам отраженных в акте нарушений и недостатков аудитором Счетной палаты, ответственным за проведение контрольного мероприятия, принимается решение о формировании и включении в отчет выводов и пре</w:t>
      </w:r>
      <w:r w:rsidRPr="002A19FA">
        <w:rPr>
          <w:sz w:val="28"/>
          <w:szCs w:val="28"/>
        </w:rPr>
        <w:t>д</w:t>
      </w:r>
      <w:r w:rsidRPr="002A19FA">
        <w:rPr>
          <w:sz w:val="28"/>
          <w:szCs w:val="28"/>
        </w:rPr>
        <w:t xml:space="preserve">ложений, основанных на материалах акта проверки.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На следующей стадии осуществляется ознакомление руководителя объекта аудита с результатами проверки. Все поступившие возражения изл</w:t>
      </w:r>
      <w:r w:rsidRPr="002A19FA">
        <w:rPr>
          <w:sz w:val="28"/>
          <w:szCs w:val="28"/>
        </w:rPr>
        <w:t>а</w:t>
      </w:r>
      <w:r w:rsidRPr="002A19FA">
        <w:rPr>
          <w:sz w:val="28"/>
          <w:szCs w:val="28"/>
        </w:rPr>
        <w:t>гаются в письменном виде.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В случае отказа руководителя в допуске инспекторов на объект ко</w:t>
      </w:r>
      <w:r w:rsidRPr="002A19FA">
        <w:rPr>
          <w:sz w:val="28"/>
          <w:szCs w:val="28"/>
        </w:rPr>
        <w:t>н</w:t>
      </w:r>
      <w:r w:rsidRPr="002A19FA">
        <w:rPr>
          <w:sz w:val="28"/>
          <w:szCs w:val="28"/>
        </w:rPr>
        <w:t>троля или непредставления необходимой информации, аудитором составл</w:t>
      </w:r>
      <w:r w:rsidRPr="002A19FA">
        <w:rPr>
          <w:sz w:val="28"/>
          <w:szCs w:val="28"/>
        </w:rPr>
        <w:t>я</w:t>
      </w:r>
      <w:r w:rsidRPr="002A19FA">
        <w:rPr>
          <w:sz w:val="28"/>
          <w:szCs w:val="28"/>
        </w:rPr>
        <w:t>ется протокол об административном правонарушении и акт об отказе.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lastRenderedPageBreak/>
        <w:t>Внесение в подписанный инспекторами Счетной палаты акт каких-либо изменений на основании замечаний руководителя и вновь представле</w:t>
      </w:r>
      <w:r w:rsidRPr="002A19FA">
        <w:rPr>
          <w:sz w:val="28"/>
          <w:szCs w:val="28"/>
        </w:rPr>
        <w:t>н</w:t>
      </w:r>
      <w:r w:rsidRPr="002A19FA">
        <w:rPr>
          <w:sz w:val="28"/>
          <w:szCs w:val="28"/>
        </w:rPr>
        <w:t>ных ими материалов не допускается.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По результатам проверки оформляются отчеты, подписанные аудит</w:t>
      </w:r>
      <w:r w:rsidRPr="002A19FA">
        <w:rPr>
          <w:sz w:val="28"/>
          <w:szCs w:val="28"/>
        </w:rPr>
        <w:t>о</w:t>
      </w:r>
      <w:r w:rsidRPr="002A19FA">
        <w:rPr>
          <w:sz w:val="28"/>
          <w:szCs w:val="28"/>
        </w:rPr>
        <w:t>ром Счетной палаты, затем они предоставляются на рассмотрение Коллегии, после чего может быть принято следующее решение (решения):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утвердить отчет;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утвердить отчет с учетом его последующей доработки по результатам обсуждения на заседании Коллегии;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отклонить отчет, подготовить и внести на рассмотрение Коллегии в установленном порядке новый отчет;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- направить информационные письма, представления, предписания и иные итоговые документы по результатам этого мероприятия.</w:t>
      </w:r>
    </w:p>
    <w:p w:rsidR="000202E3" w:rsidRPr="002A19FA" w:rsidRDefault="000202E3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Далее отчет направляется палатам Федерального Собрания Российской Федерации в срок не более 14 календарных дней после окончания меропри</w:t>
      </w:r>
      <w:r w:rsidRPr="002A19FA">
        <w:rPr>
          <w:sz w:val="28"/>
          <w:szCs w:val="28"/>
        </w:rPr>
        <w:t>я</w:t>
      </w:r>
      <w:r w:rsidRPr="002A19FA">
        <w:rPr>
          <w:sz w:val="28"/>
          <w:szCs w:val="28"/>
        </w:rPr>
        <w:t xml:space="preserve">тия, если иное не установлено Коллегией.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 xml:space="preserve">Датой окончания контрольных мероприятий считается дата принятия Коллегией решения по результатам проверки. </w:t>
      </w:r>
    </w:p>
    <w:p w:rsidR="00AB7BB0" w:rsidRPr="002A19FA" w:rsidRDefault="00AB7BB0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При выявлении в ходе контрольного мероприятия бюджетных наруш</w:t>
      </w:r>
      <w:r w:rsidRPr="002A19FA">
        <w:rPr>
          <w:sz w:val="28"/>
          <w:szCs w:val="28"/>
        </w:rPr>
        <w:t>е</w:t>
      </w:r>
      <w:r w:rsidRPr="002A19FA">
        <w:rPr>
          <w:sz w:val="28"/>
          <w:szCs w:val="28"/>
        </w:rPr>
        <w:t>ний, за совершение которых предусмотрено применение бюджетных мер принуждения, Счетная палата направляет финансовому органу уведомление о применении бюджетных мер принуждения</w:t>
      </w:r>
      <w:r w:rsidR="007921A2" w:rsidRPr="007921A2">
        <w:rPr>
          <w:sz w:val="28"/>
          <w:szCs w:val="28"/>
        </w:rPr>
        <w:t xml:space="preserve"> [4]</w:t>
      </w:r>
      <w:r w:rsidRPr="002A19FA">
        <w:rPr>
          <w:sz w:val="28"/>
          <w:szCs w:val="28"/>
        </w:rPr>
        <w:t xml:space="preserve">. </w:t>
      </w:r>
    </w:p>
    <w:p w:rsidR="00AB7BB0" w:rsidRPr="002A19FA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Счетная палата может направлять в установленном законом порядке в органы государственного контроля Российской Федерации информацию о р</w:t>
      </w:r>
      <w:r w:rsidRPr="002A19FA">
        <w:rPr>
          <w:rFonts w:ascii="Times New Roman" w:hAnsi="Times New Roman" w:cs="Times New Roman"/>
          <w:sz w:val="28"/>
          <w:szCs w:val="28"/>
        </w:rPr>
        <w:t>е</w:t>
      </w:r>
      <w:r w:rsidRPr="002A19FA">
        <w:rPr>
          <w:rFonts w:ascii="Times New Roman" w:hAnsi="Times New Roman" w:cs="Times New Roman"/>
          <w:sz w:val="28"/>
          <w:szCs w:val="28"/>
        </w:rPr>
        <w:t xml:space="preserve">зультатах проведенных контрольных </w:t>
      </w:r>
      <w:r w:rsidR="000202E3" w:rsidRPr="002A19FA">
        <w:rPr>
          <w:rFonts w:ascii="Times New Roman" w:hAnsi="Times New Roman" w:cs="Times New Roman"/>
          <w:sz w:val="28"/>
          <w:szCs w:val="28"/>
        </w:rPr>
        <w:t>м</w:t>
      </w:r>
      <w:r w:rsidRPr="002A19FA">
        <w:rPr>
          <w:rFonts w:ascii="Times New Roman" w:hAnsi="Times New Roman" w:cs="Times New Roman"/>
          <w:sz w:val="28"/>
          <w:szCs w:val="28"/>
        </w:rPr>
        <w:t>ероприятий</w:t>
      </w:r>
      <w:r w:rsidR="00A31DE7" w:rsidRPr="002A19FA">
        <w:rPr>
          <w:rFonts w:ascii="Times New Roman" w:hAnsi="Times New Roman" w:cs="Times New Roman"/>
          <w:sz w:val="28"/>
          <w:szCs w:val="28"/>
        </w:rPr>
        <w:t>, и, наоборот, о</w:t>
      </w:r>
      <w:r w:rsidRPr="002A19FA">
        <w:rPr>
          <w:rFonts w:ascii="Times New Roman" w:hAnsi="Times New Roman" w:cs="Times New Roman"/>
          <w:sz w:val="28"/>
          <w:szCs w:val="28"/>
        </w:rPr>
        <w:t>рганы гос</w:t>
      </w:r>
      <w:r w:rsidRPr="002A19FA">
        <w:rPr>
          <w:rFonts w:ascii="Times New Roman" w:hAnsi="Times New Roman" w:cs="Times New Roman"/>
          <w:sz w:val="28"/>
          <w:szCs w:val="28"/>
        </w:rPr>
        <w:t>у</w:t>
      </w:r>
      <w:r w:rsidRPr="002A19FA">
        <w:rPr>
          <w:rFonts w:ascii="Times New Roman" w:hAnsi="Times New Roman" w:cs="Times New Roman"/>
          <w:sz w:val="28"/>
          <w:szCs w:val="28"/>
        </w:rPr>
        <w:t>дарственного контроля Российской Федерации могут направлять в Счетную палату сведения о ставших известными фактах нарушений в использовании средств федерального бюджета, средств бюджетов государственных внебю</w:t>
      </w:r>
      <w:r w:rsidRPr="002A19FA">
        <w:rPr>
          <w:rFonts w:ascii="Times New Roman" w:hAnsi="Times New Roman" w:cs="Times New Roman"/>
          <w:sz w:val="28"/>
          <w:szCs w:val="28"/>
        </w:rPr>
        <w:t>д</w:t>
      </w:r>
      <w:r w:rsidRPr="002A19FA">
        <w:rPr>
          <w:rFonts w:ascii="Times New Roman" w:hAnsi="Times New Roman" w:cs="Times New Roman"/>
          <w:sz w:val="28"/>
          <w:szCs w:val="28"/>
        </w:rPr>
        <w:t xml:space="preserve">жетных фондов Российской Федерации и федеральной собственности, в том </w:t>
      </w:r>
      <w:r w:rsidRPr="002A19FA">
        <w:rPr>
          <w:rFonts w:ascii="Times New Roman" w:hAnsi="Times New Roman" w:cs="Times New Roman"/>
          <w:sz w:val="28"/>
          <w:szCs w:val="28"/>
        </w:rPr>
        <w:lastRenderedPageBreak/>
        <w:t>числе о фактах их неэффективного и нецелевого использования, а также об иных нарушениях.</w:t>
      </w:r>
    </w:p>
    <w:p w:rsidR="00AB7BB0" w:rsidRPr="002A19FA" w:rsidRDefault="00AB7BB0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 xml:space="preserve">При выявлении в ходе </w:t>
      </w:r>
      <w:r w:rsidR="000202E3" w:rsidRPr="002A19FA">
        <w:rPr>
          <w:rFonts w:ascii="Times New Roman" w:hAnsi="Times New Roman" w:cs="Times New Roman"/>
          <w:sz w:val="28"/>
          <w:szCs w:val="28"/>
        </w:rPr>
        <w:t>проверки</w:t>
      </w:r>
      <w:r w:rsidRPr="002A19FA">
        <w:rPr>
          <w:rFonts w:ascii="Times New Roman" w:hAnsi="Times New Roman" w:cs="Times New Roman"/>
          <w:sz w:val="28"/>
          <w:szCs w:val="28"/>
        </w:rPr>
        <w:t xml:space="preserve"> Счетной палаты данных, указывающих на признаки составов преступлений, соответствующие материалы направл</w:t>
      </w:r>
      <w:r w:rsidRPr="002A19FA">
        <w:rPr>
          <w:rFonts w:ascii="Times New Roman" w:hAnsi="Times New Roman" w:cs="Times New Roman"/>
          <w:sz w:val="28"/>
          <w:szCs w:val="28"/>
        </w:rPr>
        <w:t>я</w:t>
      </w:r>
      <w:r w:rsidRPr="002A19FA">
        <w:rPr>
          <w:rFonts w:ascii="Times New Roman" w:hAnsi="Times New Roman" w:cs="Times New Roman"/>
          <w:sz w:val="28"/>
          <w:szCs w:val="28"/>
        </w:rPr>
        <w:t>ются Счетной палатой в правоохранительные органы Российской Федерации</w:t>
      </w:r>
      <w:r w:rsidR="000202E3" w:rsidRPr="002A19FA">
        <w:rPr>
          <w:rFonts w:ascii="Times New Roman" w:hAnsi="Times New Roman" w:cs="Times New Roman"/>
          <w:sz w:val="28"/>
          <w:szCs w:val="28"/>
        </w:rPr>
        <w:t>.</w:t>
      </w:r>
    </w:p>
    <w:p w:rsidR="000202E3" w:rsidRPr="002A19FA" w:rsidRDefault="000202E3" w:rsidP="002A19F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A19FA">
        <w:rPr>
          <w:sz w:val="28"/>
          <w:szCs w:val="28"/>
        </w:rPr>
        <w:t>Материалы, связанные с сохранением государственной тайны, пре</w:t>
      </w:r>
      <w:r w:rsidRPr="002A19FA">
        <w:rPr>
          <w:sz w:val="28"/>
          <w:szCs w:val="28"/>
        </w:rPr>
        <w:t>д</w:t>
      </w:r>
      <w:r w:rsidRPr="002A19FA">
        <w:rPr>
          <w:sz w:val="28"/>
          <w:szCs w:val="28"/>
        </w:rPr>
        <w:t>ставляются палатам Федерального Собрания Российской Федерации в соо</w:t>
      </w:r>
      <w:r w:rsidRPr="002A19FA">
        <w:rPr>
          <w:sz w:val="28"/>
          <w:szCs w:val="28"/>
        </w:rPr>
        <w:t>т</w:t>
      </w:r>
      <w:r w:rsidRPr="002A19FA">
        <w:rPr>
          <w:sz w:val="28"/>
          <w:szCs w:val="28"/>
        </w:rPr>
        <w:t xml:space="preserve">ветствии с законодательством Российской Федерации. </w:t>
      </w:r>
    </w:p>
    <w:p w:rsidR="00C30CB1" w:rsidRPr="002A19FA" w:rsidRDefault="000202E3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Univers"/>
          <w:color w:val="000000"/>
          <w:sz w:val="28"/>
          <w:szCs w:val="24"/>
        </w:rPr>
      </w:pPr>
      <w:r w:rsidRPr="002A19FA">
        <w:rPr>
          <w:rFonts w:ascii="Times New Roman" w:hAnsi="Times New Roman" w:cs="Times New Roman"/>
          <w:sz w:val="28"/>
          <w:szCs w:val="28"/>
        </w:rPr>
        <w:t>Члены Коллегии, инспекторы и иные сотрудники аппарата Счетной п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латы обязаны соблюдать установленные в Счетной палате правила публичных выступлений, использования и предоставления информации.</w:t>
      </w:r>
    </w:p>
    <w:p w:rsidR="00863A71" w:rsidRPr="002A19FA" w:rsidRDefault="00C30CB1" w:rsidP="002A19FA">
      <w:pPr>
        <w:tabs>
          <w:tab w:val="left" w:pos="142"/>
          <w:tab w:val="left" w:pos="1276"/>
        </w:tabs>
        <w:ind w:right="-144"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Являясь органом государственного финансового контроля, действу</w:t>
      </w:r>
      <w:r w:rsidRPr="002A19FA">
        <w:rPr>
          <w:rFonts w:ascii="Times New Roman" w:hAnsi="Times New Roman" w:cs="Times New Roman"/>
          <w:sz w:val="28"/>
          <w:szCs w:val="28"/>
        </w:rPr>
        <w:t>ю</w:t>
      </w:r>
      <w:r w:rsidRPr="002A19FA">
        <w:rPr>
          <w:rFonts w:ascii="Times New Roman" w:hAnsi="Times New Roman" w:cs="Times New Roman"/>
          <w:sz w:val="28"/>
          <w:szCs w:val="28"/>
        </w:rPr>
        <w:t>щим от име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ни общества, Счетная палата прикладывает все усилия к недоп</w:t>
      </w:r>
      <w:r w:rsidRPr="002A19FA">
        <w:rPr>
          <w:rFonts w:ascii="Times New Roman" w:hAnsi="Times New Roman" w:cs="Times New Roman"/>
          <w:sz w:val="28"/>
          <w:szCs w:val="28"/>
        </w:rPr>
        <w:t>у</w:t>
      </w:r>
      <w:r w:rsidRPr="002A19FA">
        <w:rPr>
          <w:rFonts w:ascii="Times New Roman" w:hAnsi="Times New Roman" w:cs="Times New Roman"/>
          <w:sz w:val="28"/>
          <w:szCs w:val="28"/>
        </w:rPr>
        <w:t>щению нарушения федеральных законов и иных нормативных правовых а</w:t>
      </w:r>
      <w:r w:rsidRPr="002A19FA">
        <w:rPr>
          <w:rFonts w:ascii="Times New Roman" w:hAnsi="Times New Roman" w:cs="Times New Roman"/>
          <w:sz w:val="28"/>
          <w:szCs w:val="28"/>
        </w:rPr>
        <w:t>к</w:t>
      </w:r>
      <w:r w:rsidRPr="002A19FA">
        <w:rPr>
          <w:rFonts w:ascii="Times New Roman" w:hAnsi="Times New Roman" w:cs="Times New Roman"/>
          <w:sz w:val="28"/>
          <w:szCs w:val="28"/>
        </w:rPr>
        <w:t>тов, затрагивающих интересы, как государственных структур, так и иных уч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стников бюджетного процесса, включая институты гражданского общества, широкие слои населения</w:t>
      </w:r>
      <w:r w:rsidR="007921A2" w:rsidRPr="007921A2">
        <w:rPr>
          <w:rFonts w:ascii="Times New Roman" w:hAnsi="Times New Roman" w:cs="Times New Roman"/>
          <w:sz w:val="28"/>
          <w:szCs w:val="28"/>
        </w:rPr>
        <w:t xml:space="preserve"> [4]</w:t>
      </w:r>
      <w:r w:rsidRPr="002A19FA">
        <w:rPr>
          <w:rFonts w:ascii="Times New Roman" w:hAnsi="Times New Roman" w:cs="Times New Roman"/>
          <w:sz w:val="28"/>
          <w:szCs w:val="28"/>
        </w:rPr>
        <w:t>.</w:t>
      </w:r>
    </w:p>
    <w:p w:rsidR="002A6331" w:rsidRDefault="00AB7BB0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Всего за 20</w:t>
      </w:r>
      <w:r w:rsidR="002A6331" w:rsidRPr="002A19FA">
        <w:rPr>
          <w:rFonts w:ascii="Times New Roman" w:hAnsi="Times New Roman" w:cs="Times New Roman"/>
          <w:sz w:val="28"/>
          <w:szCs w:val="28"/>
        </w:rPr>
        <w:t>10 – 2012</w:t>
      </w:r>
      <w:r w:rsidRPr="002A19FA">
        <w:rPr>
          <w:rFonts w:ascii="Times New Roman" w:hAnsi="Times New Roman" w:cs="Times New Roman"/>
          <w:sz w:val="28"/>
          <w:szCs w:val="28"/>
        </w:rPr>
        <w:t xml:space="preserve"> </w:t>
      </w:r>
      <w:r w:rsidR="002A6331" w:rsidRPr="002A19FA">
        <w:rPr>
          <w:rFonts w:ascii="Times New Roman" w:hAnsi="Times New Roman" w:cs="Times New Roman"/>
          <w:sz w:val="28"/>
          <w:szCs w:val="28"/>
        </w:rPr>
        <w:t>годы Счетная палата провела 1111</w:t>
      </w:r>
      <w:r w:rsidRPr="002A19FA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="002A6331" w:rsidRPr="002A19FA">
        <w:rPr>
          <w:rFonts w:ascii="Times New Roman" w:hAnsi="Times New Roman" w:cs="Times New Roman"/>
          <w:sz w:val="28"/>
          <w:szCs w:val="28"/>
        </w:rPr>
        <w:t>, в частности в 2010г. – 371, в 2011г. – 370, в 2012г. – 370.</w:t>
      </w:r>
      <w:r w:rsidR="00ED6E77" w:rsidRPr="002A19FA">
        <w:rPr>
          <w:rFonts w:ascii="Times New Roman" w:hAnsi="Times New Roman" w:cs="Times New Roman"/>
          <w:sz w:val="28"/>
          <w:szCs w:val="28"/>
        </w:rPr>
        <w:t xml:space="preserve"> Для наглядности</w:t>
      </w:r>
      <w:r w:rsidR="002A6331" w:rsidRPr="002A19FA">
        <w:rPr>
          <w:rFonts w:ascii="Times New Roman" w:hAnsi="Times New Roman" w:cs="Times New Roman"/>
          <w:sz w:val="28"/>
          <w:szCs w:val="28"/>
        </w:rPr>
        <w:t>, представим данные в виде диаграммы (рис.</w:t>
      </w:r>
      <w:r w:rsidR="0025181C">
        <w:rPr>
          <w:rFonts w:ascii="Times New Roman" w:hAnsi="Times New Roman" w:cs="Times New Roman"/>
          <w:sz w:val="28"/>
          <w:szCs w:val="28"/>
        </w:rPr>
        <w:t>4.</w:t>
      </w:r>
      <w:r w:rsidR="002A6331" w:rsidRPr="002A19FA">
        <w:rPr>
          <w:rFonts w:ascii="Times New Roman" w:hAnsi="Times New Roman" w:cs="Times New Roman"/>
          <w:sz w:val="28"/>
          <w:szCs w:val="28"/>
        </w:rPr>
        <w:t>)</w:t>
      </w:r>
      <w:r w:rsidR="0025181C">
        <w:rPr>
          <w:rFonts w:ascii="Times New Roman" w:hAnsi="Times New Roman" w:cs="Times New Roman"/>
          <w:sz w:val="28"/>
          <w:szCs w:val="28"/>
        </w:rPr>
        <w:t>.</w:t>
      </w:r>
    </w:p>
    <w:p w:rsidR="002A6331" w:rsidRDefault="002A6331" w:rsidP="0025181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93708" cy="2091267"/>
            <wp:effectExtent l="19050" t="0" r="11642" b="4233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181C" w:rsidRPr="00226544" w:rsidRDefault="0025181C" w:rsidP="0025181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 Контрольные мероприятия за 2010-2012гг.</w:t>
      </w:r>
    </w:p>
    <w:p w:rsidR="00113EC6" w:rsidRPr="00226544" w:rsidRDefault="00113EC6" w:rsidP="0025181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7BB0" w:rsidRDefault="00AB7BB0" w:rsidP="002A19FA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A19FA">
        <w:rPr>
          <w:rFonts w:ascii="Times New Roman" w:hAnsi="Times New Roman" w:cs="Times New Roman"/>
          <w:sz w:val="28"/>
          <w:szCs w:val="28"/>
        </w:rPr>
        <w:lastRenderedPageBreak/>
        <w:t xml:space="preserve">В ходе проведения мероприятий </w:t>
      </w:r>
      <w:r w:rsidR="00ED6E77" w:rsidRPr="002A19FA">
        <w:rPr>
          <w:rFonts w:ascii="Times New Roman" w:hAnsi="Times New Roman" w:cs="Times New Roman"/>
          <w:sz w:val="28"/>
          <w:szCs w:val="28"/>
        </w:rPr>
        <w:t xml:space="preserve">за указанный период </w:t>
      </w:r>
      <w:r w:rsidRPr="002A19FA">
        <w:rPr>
          <w:rFonts w:ascii="Times New Roman" w:hAnsi="Times New Roman" w:cs="Times New Roman"/>
          <w:sz w:val="28"/>
          <w:szCs w:val="28"/>
        </w:rPr>
        <w:t>выявлено нар</w:t>
      </w:r>
      <w:r w:rsidRPr="002A19FA">
        <w:rPr>
          <w:rFonts w:ascii="Times New Roman" w:hAnsi="Times New Roman" w:cs="Times New Roman"/>
          <w:sz w:val="28"/>
          <w:szCs w:val="28"/>
        </w:rPr>
        <w:t>у</w:t>
      </w:r>
      <w:r w:rsidRPr="002A19FA">
        <w:rPr>
          <w:rFonts w:ascii="Times New Roman" w:hAnsi="Times New Roman" w:cs="Times New Roman"/>
          <w:sz w:val="28"/>
          <w:szCs w:val="28"/>
        </w:rPr>
        <w:t xml:space="preserve">шений законодательства в финансово-бюджетной сфере на сумму </w:t>
      </w:r>
      <w:r w:rsidR="002A6331" w:rsidRPr="002A19FA">
        <w:rPr>
          <w:rFonts w:ascii="Times New Roman" w:hAnsi="Times New Roman" w:cs="Times New Roman"/>
          <w:sz w:val="28"/>
          <w:szCs w:val="28"/>
        </w:rPr>
        <w:t>1983,8</w:t>
      </w:r>
      <w:r w:rsidRPr="002A19FA">
        <w:rPr>
          <w:rFonts w:ascii="Times New Roman" w:hAnsi="Times New Roman" w:cs="Times New Roman"/>
          <w:sz w:val="28"/>
          <w:szCs w:val="28"/>
        </w:rPr>
        <w:t xml:space="preserve"> млрд. рублей (в 20</w:t>
      </w:r>
      <w:r w:rsidR="00ED6E77" w:rsidRPr="002A19FA">
        <w:rPr>
          <w:rFonts w:ascii="Times New Roman" w:hAnsi="Times New Roman" w:cs="Times New Roman"/>
          <w:sz w:val="28"/>
          <w:szCs w:val="28"/>
        </w:rPr>
        <w:t>10</w:t>
      </w:r>
      <w:r w:rsidRPr="002A19FA">
        <w:rPr>
          <w:rFonts w:ascii="Times New Roman" w:hAnsi="Times New Roman" w:cs="Times New Roman"/>
          <w:sz w:val="28"/>
          <w:szCs w:val="28"/>
        </w:rPr>
        <w:t>г</w:t>
      </w:r>
      <w:r w:rsidR="00ED6E77" w:rsidRPr="002A19FA">
        <w:rPr>
          <w:rFonts w:ascii="Times New Roman" w:hAnsi="Times New Roman" w:cs="Times New Roman"/>
          <w:sz w:val="28"/>
          <w:szCs w:val="28"/>
        </w:rPr>
        <w:t>. – 483,9 млрд. руб.</w:t>
      </w:r>
      <w:r w:rsidRPr="002A19FA">
        <w:rPr>
          <w:rFonts w:ascii="Times New Roman" w:hAnsi="Times New Roman" w:cs="Times New Roman"/>
          <w:sz w:val="28"/>
          <w:szCs w:val="28"/>
        </w:rPr>
        <w:t>,</w:t>
      </w:r>
      <w:r w:rsidR="00ED6E77" w:rsidRPr="002A19FA">
        <w:rPr>
          <w:rFonts w:ascii="Times New Roman" w:hAnsi="Times New Roman" w:cs="Times New Roman"/>
          <w:sz w:val="28"/>
          <w:szCs w:val="28"/>
        </w:rPr>
        <w:t xml:space="preserve"> в 2011г.</w:t>
      </w:r>
      <w:r w:rsidRPr="002A19FA">
        <w:rPr>
          <w:rFonts w:ascii="Times New Roman" w:hAnsi="Times New Roman" w:cs="Times New Roman"/>
          <w:sz w:val="28"/>
          <w:szCs w:val="28"/>
        </w:rPr>
        <w:t xml:space="preserve"> – 718,5 млрд. руб</w:t>
      </w:r>
      <w:r w:rsidR="00ED6E77" w:rsidRPr="002A19FA">
        <w:rPr>
          <w:rFonts w:ascii="Times New Roman" w:hAnsi="Times New Roman" w:cs="Times New Roman"/>
          <w:sz w:val="28"/>
          <w:szCs w:val="28"/>
        </w:rPr>
        <w:t>., в 2012г. – 781,4 млрд. руб.</w:t>
      </w:r>
      <w:r w:rsidRPr="002A19FA">
        <w:rPr>
          <w:rFonts w:ascii="Times New Roman" w:hAnsi="Times New Roman" w:cs="Times New Roman"/>
          <w:sz w:val="28"/>
          <w:szCs w:val="28"/>
        </w:rPr>
        <w:t xml:space="preserve">). </w:t>
      </w:r>
      <w:r w:rsidR="00ED6E77" w:rsidRPr="002A19FA">
        <w:rPr>
          <w:rFonts w:ascii="Times New Roman" w:hAnsi="Times New Roman" w:cs="Times New Roman"/>
          <w:sz w:val="28"/>
          <w:szCs w:val="28"/>
        </w:rPr>
        <w:t>Данные представлены в виде диаграммы</w:t>
      </w:r>
      <w:r w:rsidR="002F2D31">
        <w:rPr>
          <w:rFonts w:ascii="Times New Roman" w:hAnsi="Times New Roman" w:cs="Times New Roman"/>
          <w:sz w:val="28"/>
          <w:szCs w:val="28"/>
        </w:rPr>
        <w:t xml:space="preserve"> на рис. 5.</w:t>
      </w:r>
    </w:p>
    <w:p w:rsidR="00ED6E77" w:rsidRDefault="00ED6E77" w:rsidP="00113EC6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A19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9472" cy="1871133"/>
            <wp:effectExtent l="19050" t="0" r="27728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667AB" w:rsidRPr="00226544" w:rsidRDefault="002F2D3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Динамика нарушений законодательства в финансово -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ной сфере. </w:t>
      </w:r>
    </w:p>
    <w:p w:rsidR="007921A2" w:rsidRPr="00226544" w:rsidRDefault="007921A2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921A2" w:rsidRDefault="00E744BB" w:rsidP="002A19FA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A19FA">
        <w:rPr>
          <w:rFonts w:ascii="Times New Roman" w:hAnsi="Times New Roman" w:cs="Times New Roman"/>
          <w:sz w:val="28"/>
          <w:szCs w:val="28"/>
        </w:rPr>
        <w:t>В целях реализации своих полномочий по выявлению, предупрежд</w:t>
      </w:r>
      <w:r w:rsidRPr="002A19FA">
        <w:rPr>
          <w:rFonts w:ascii="Times New Roman" w:hAnsi="Times New Roman" w:cs="Times New Roman"/>
          <w:sz w:val="28"/>
          <w:szCs w:val="28"/>
        </w:rPr>
        <w:t>е</w:t>
      </w:r>
      <w:r w:rsidRPr="002A19FA">
        <w:rPr>
          <w:rFonts w:ascii="Times New Roman" w:hAnsi="Times New Roman" w:cs="Times New Roman"/>
          <w:sz w:val="28"/>
          <w:szCs w:val="28"/>
        </w:rPr>
        <w:t>нию и устране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нию фактов незаконного, нецелевого, неэффективного испол</w:t>
      </w:r>
      <w:r w:rsidRPr="002A19FA">
        <w:rPr>
          <w:rFonts w:ascii="Times New Roman" w:hAnsi="Times New Roman" w:cs="Times New Roman"/>
          <w:sz w:val="28"/>
          <w:szCs w:val="28"/>
        </w:rPr>
        <w:t>ь</w:t>
      </w:r>
      <w:r w:rsidRPr="002A19FA">
        <w:rPr>
          <w:rFonts w:ascii="Times New Roman" w:hAnsi="Times New Roman" w:cs="Times New Roman"/>
          <w:sz w:val="28"/>
          <w:szCs w:val="28"/>
        </w:rPr>
        <w:t>зования государствен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ных финансовых ресурсов и государственной собстве</w:t>
      </w:r>
      <w:r w:rsidRPr="002A19FA">
        <w:rPr>
          <w:rFonts w:ascii="Times New Roman" w:hAnsi="Times New Roman" w:cs="Times New Roman"/>
          <w:sz w:val="28"/>
          <w:szCs w:val="28"/>
        </w:rPr>
        <w:t>н</w:t>
      </w:r>
      <w:r w:rsidRPr="002A19FA">
        <w:rPr>
          <w:rFonts w:ascii="Times New Roman" w:hAnsi="Times New Roman" w:cs="Times New Roman"/>
          <w:sz w:val="28"/>
          <w:szCs w:val="28"/>
        </w:rPr>
        <w:t>ности Счетной палатой с 2010 по 2012гг. было направлено 1008 представл</w:t>
      </w:r>
      <w:r w:rsidRPr="002A19FA">
        <w:rPr>
          <w:rFonts w:ascii="Times New Roman" w:hAnsi="Times New Roman" w:cs="Times New Roman"/>
          <w:sz w:val="28"/>
          <w:szCs w:val="28"/>
        </w:rPr>
        <w:t>е</w:t>
      </w:r>
      <w:r w:rsidRPr="002A19FA">
        <w:rPr>
          <w:rFonts w:ascii="Times New Roman" w:hAnsi="Times New Roman" w:cs="Times New Roman"/>
          <w:sz w:val="28"/>
          <w:szCs w:val="28"/>
        </w:rPr>
        <w:t>ний главным распорядителям средств феде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рального бюджета, иным участн</w:t>
      </w:r>
      <w:r w:rsidRPr="002A19FA">
        <w:rPr>
          <w:rFonts w:ascii="Times New Roman" w:hAnsi="Times New Roman" w:cs="Times New Roman"/>
          <w:sz w:val="28"/>
          <w:szCs w:val="28"/>
        </w:rPr>
        <w:t>и</w:t>
      </w:r>
      <w:r w:rsidRPr="002A19FA">
        <w:rPr>
          <w:rFonts w:ascii="Times New Roman" w:hAnsi="Times New Roman" w:cs="Times New Roman"/>
          <w:sz w:val="28"/>
          <w:szCs w:val="28"/>
        </w:rPr>
        <w:t>кам бюджетного процесса. Данные по годам представлены на рис.</w:t>
      </w:r>
      <w:r w:rsidR="002F2D31">
        <w:rPr>
          <w:rFonts w:ascii="Times New Roman" w:hAnsi="Times New Roman" w:cs="Times New Roman"/>
          <w:sz w:val="28"/>
          <w:szCs w:val="28"/>
        </w:rPr>
        <w:t xml:space="preserve"> 6.</w:t>
      </w:r>
    </w:p>
    <w:p w:rsidR="00E744BB" w:rsidRDefault="00E744BB" w:rsidP="002F2D3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5133" cy="2538730"/>
            <wp:effectExtent l="19050" t="0" r="21167" b="0"/>
            <wp:docPr id="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F2D31" w:rsidRPr="002A19FA" w:rsidRDefault="002F2D31" w:rsidP="002F2D3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6. Количество представлений и предписаний за 2010-2012гг.</w:t>
      </w:r>
    </w:p>
    <w:p w:rsidR="00C30CB1" w:rsidRPr="002A19FA" w:rsidRDefault="00C30CB1" w:rsidP="002A19FA">
      <w:pPr>
        <w:autoSpaceDE w:val="0"/>
        <w:autoSpaceDN w:val="0"/>
        <w:adjustRightInd w:val="0"/>
        <w:ind w:firstLine="709"/>
        <w:rPr>
          <w:rFonts w:ascii="Times New Roman" w:hAnsi="Times New Roman" w:cs="Univers"/>
          <w:color w:val="000000"/>
          <w:sz w:val="28"/>
          <w:szCs w:val="24"/>
        </w:rPr>
      </w:pPr>
    </w:p>
    <w:p w:rsidR="00C30CB1" w:rsidRPr="002A19FA" w:rsidRDefault="00C30CB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lastRenderedPageBreak/>
        <w:t>Важным фактором, влияющим на положительную динамику исполн</w:t>
      </w:r>
      <w:r w:rsidRPr="002A19FA">
        <w:rPr>
          <w:rFonts w:ascii="Times New Roman" w:hAnsi="Times New Roman" w:cs="Times New Roman"/>
          <w:sz w:val="28"/>
          <w:szCs w:val="28"/>
        </w:rPr>
        <w:t>е</w:t>
      </w:r>
      <w:r w:rsidRPr="002A19FA">
        <w:rPr>
          <w:rFonts w:ascii="Times New Roman" w:hAnsi="Times New Roman" w:cs="Times New Roman"/>
          <w:sz w:val="28"/>
          <w:szCs w:val="28"/>
        </w:rPr>
        <w:t>ния представ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лений Счетной палаты, послужило усиление взаимодействия Счетной палаты с органа</w:t>
      </w:r>
      <w:r w:rsidRPr="002A19FA">
        <w:rPr>
          <w:rFonts w:ascii="Times New Roman" w:hAnsi="Times New Roman" w:cs="Times New Roman"/>
          <w:sz w:val="28"/>
          <w:szCs w:val="28"/>
        </w:rPr>
        <w:softHyphen/>
        <w:t>ми прокуратуры и другими правоохранительными органами.</w:t>
      </w:r>
    </w:p>
    <w:p w:rsidR="00AB7BB0" w:rsidRPr="002A19FA" w:rsidRDefault="00AB7BB0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 xml:space="preserve"> По выявленным фактам нарушения законодательства </w:t>
      </w:r>
      <w:r w:rsidR="00ED6E77" w:rsidRPr="002A19FA">
        <w:rPr>
          <w:rFonts w:ascii="Times New Roman" w:hAnsi="Times New Roman" w:cs="Times New Roman"/>
          <w:sz w:val="28"/>
          <w:szCs w:val="28"/>
        </w:rPr>
        <w:t>557</w:t>
      </w:r>
      <w:r w:rsidRPr="002A19FA">
        <w:rPr>
          <w:rFonts w:ascii="Times New Roman" w:hAnsi="Times New Roman" w:cs="Times New Roman"/>
          <w:sz w:val="28"/>
          <w:szCs w:val="28"/>
        </w:rPr>
        <w:t xml:space="preserve"> материалов были направлены в Генеральную прокуратуру Российской Федерации и иные правоохранительные органы, возбуждено </w:t>
      </w:r>
      <w:r w:rsidR="00ED6E77" w:rsidRPr="002A19FA">
        <w:rPr>
          <w:rFonts w:ascii="Times New Roman" w:hAnsi="Times New Roman" w:cs="Times New Roman"/>
          <w:sz w:val="28"/>
          <w:szCs w:val="28"/>
        </w:rPr>
        <w:t>191 уголовное</w:t>
      </w:r>
      <w:r w:rsidRPr="002A19FA">
        <w:rPr>
          <w:rFonts w:ascii="Times New Roman" w:hAnsi="Times New Roman" w:cs="Times New Roman"/>
          <w:sz w:val="28"/>
          <w:szCs w:val="28"/>
        </w:rPr>
        <w:t xml:space="preserve"> дел</w:t>
      </w:r>
      <w:r w:rsidR="00ED6E77" w:rsidRPr="002A19FA">
        <w:rPr>
          <w:rFonts w:ascii="Times New Roman" w:hAnsi="Times New Roman" w:cs="Times New Roman"/>
          <w:sz w:val="28"/>
          <w:szCs w:val="28"/>
        </w:rPr>
        <w:t>о</w:t>
      </w:r>
      <w:r w:rsidRPr="002A19FA">
        <w:rPr>
          <w:rFonts w:ascii="Times New Roman" w:hAnsi="Times New Roman" w:cs="Times New Roman"/>
          <w:sz w:val="28"/>
          <w:szCs w:val="28"/>
        </w:rPr>
        <w:t xml:space="preserve">. </w:t>
      </w:r>
      <w:r w:rsidR="001667AB" w:rsidRPr="002A19FA">
        <w:rPr>
          <w:rFonts w:ascii="Times New Roman" w:hAnsi="Times New Roman" w:cs="Times New Roman"/>
          <w:sz w:val="28"/>
          <w:szCs w:val="28"/>
        </w:rPr>
        <w:t>Для частного рассмотрения данных по годам информация приведена на рис.</w:t>
      </w:r>
      <w:r w:rsidR="002F2D31">
        <w:rPr>
          <w:rFonts w:ascii="Times New Roman" w:hAnsi="Times New Roman" w:cs="Times New Roman"/>
          <w:sz w:val="28"/>
          <w:szCs w:val="28"/>
        </w:rPr>
        <w:t xml:space="preserve"> 7.</w:t>
      </w:r>
    </w:p>
    <w:p w:rsidR="002F2D31" w:rsidRDefault="002F2D3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667AB" w:rsidRPr="002A19FA" w:rsidRDefault="001667AB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7047" cy="2617839"/>
            <wp:effectExtent l="19050" t="0" r="14503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D6E77" w:rsidRDefault="002F2D3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 Реагирование правоохранительных органов на нарушения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нодательства в финансово-бюджетной сфере</w:t>
      </w:r>
      <w:r w:rsidR="00F23D1B" w:rsidRPr="00F23D1B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2D31" w:rsidRPr="002A19FA" w:rsidRDefault="002F2D3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6331" w:rsidRPr="002A19FA" w:rsidRDefault="002A633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Итоги деятельности Счетной палаты свидетельствуют об эффективн</w:t>
      </w:r>
      <w:r w:rsidRPr="002A19FA">
        <w:rPr>
          <w:rFonts w:ascii="Times New Roman" w:hAnsi="Times New Roman" w:cs="Times New Roman"/>
          <w:sz w:val="28"/>
          <w:szCs w:val="28"/>
        </w:rPr>
        <w:t>о</w:t>
      </w:r>
      <w:r w:rsidRPr="002A19FA">
        <w:rPr>
          <w:rFonts w:ascii="Times New Roman" w:hAnsi="Times New Roman" w:cs="Times New Roman"/>
          <w:sz w:val="28"/>
          <w:szCs w:val="28"/>
        </w:rPr>
        <w:t>сти ее работы по выявлению потерь финансовых ресурсов государства, во</w:t>
      </w:r>
      <w:r w:rsidRPr="002A19FA">
        <w:rPr>
          <w:rFonts w:ascii="Times New Roman" w:hAnsi="Times New Roman" w:cs="Times New Roman"/>
          <w:sz w:val="28"/>
          <w:szCs w:val="28"/>
        </w:rPr>
        <w:t>з</w:t>
      </w:r>
      <w:r w:rsidRPr="002A19FA">
        <w:rPr>
          <w:rFonts w:ascii="Times New Roman" w:hAnsi="Times New Roman" w:cs="Times New Roman"/>
          <w:sz w:val="28"/>
          <w:szCs w:val="28"/>
        </w:rPr>
        <w:t>врату незаконно израсходованных средств, подготовке предложений по ус</w:t>
      </w:r>
      <w:r w:rsidRPr="002A19FA">
        <w:rPr>
          <w:rFonts w:ascii="Times New Roman" w:hAnsi="Times New Roman" w:cs="Times New Roman"/>
          <w:sz w:val="28"/>
          <w:szCs w:val="28"/>
        </w:rPr>
        <w:t>т</w:t>
      </w:r>
      <w:r w:rsidRPr="002A19FA">
        <w:rPr>
          <w:rFonts w:ascii="Times New Roman" w:hAnsi="Times New Roman" w:cs="Times New Roman"/>
          <w:sz w:val="28"/>
          <w:szCs w:val="28"/>
        </w:rPr>
        <w:t xml:space="preserve">ранению причин существующих недостатков. Это позволяет сделать вывод о том, что Счетная палата стала инструментом, с помощью которого общество реально осуществляет пристрастный аудит своего государства. </w:t>
      </w:r>
    </w:p>
    <w:p w:rsidR="002A6331" w:rsidRPr="002A19FA" w:rsidRDefault="002A6331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br w:type="page"/>
      </w:r>
    </w:p>
    <w:p w:rsidR="00CB60F5" w:rsidRDefault="002A19FA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lastRenderedPageBreak/>
        <w:t>Задание 2.</w:t>
      </w:r>
    </w:p>
    <w:p w:rsidR="007F773B" w:rsidRDefault="007F773B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FE6" w:rsidRPr="002A19FA" w:rsidRDefault="00226544" w:rsidP="0022654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26544">
        <w:rPr>
          <w:rFonts w:ascii="Times New Roman" w:hAnsi="Times New Roman" w:cs="Times New Roman"/>
          <w:color w:val="231F20"/>
          <w:sz w:val="28"/>
          <w:szCs w:val="28"/>
        </w:rPr>
        <w:t>Правительство РФ постановило, что застрахованные 1967 года рожд</w:t>
      </w:r>
      <w:r w:rsidRPr="00226544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226544">
        <w:rPr>
          <w:rFonts w:ascii="Times New Roman" w:hAnsi="Times New Roman" w:cs="Times New Roman"/>
          <w:color w:val="231F20"/>
          <w:sz w:val="28"/>
          <w:szCs w:val="28"/>
        </w:rPr>
        <w:t>ния и моложе должны до 2014г. выбрать тариф страховых взносов, уплач</w:t>
      </w:r>
      <w:r w:rsidRPr="00226544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26544">
        <w:rPr>
          <w:rFonts w:ascii="Times New Roman" w:hAnsi="Times New Roman" w:cs="Times New Roman"/>
          <w:color w:val="231F20"/>
          <w:sz w:val="28"/>
          <w:szCs w:val="28"/>
        </w:rPr>
        <w:t xml:space="preserve">ваемых страхователями. Если на накопительную часть пенсии </w:t>
      </w:r>
      <w:r>
        <w:rPr>
          <w:rFonts w:ascii="Times New Roman" w:hAnsi="Times New Roman" w:cs="Times New Roman"/>
          <w:color w:val="231F20"/>
          <w:sz w:val="28"/>
          <w:szCs w:val="28"/>
        </w:rPr>
        <w:t>будет выбран</w:t>
      </w:r>
      <w:r w:rsidRPr="00226544">
        <w:rPr>
          <w:rFonts w:ascii="Times New Roman" w:hAnsi="Times New Roman" w:cs="Times New Roman"/>
          <w:color w:val="231F20"/>
          <w:sz w:val="28"/>
          <w:szCs w:val="28"/>
        </w:rPr>
        <w:t xml:space="preserve"> тариф в размере 6%, то страховая часть не изменяется.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19FA" w:rsidRPr="002A19FA" w:rsidRDefault="002A19FA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Задание 3.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1.</w:t>
      </w:r>
      <w:r w:rsidR="00490FE6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2.</w:t>
      </w:r>
      <w:r w:rsidR="00490FE6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3.</w:t>
      </w:r>
      <w:r w:rsidR="00490FE6">
        <w:rPr>
          <w:rFonts w:ascii="Times New Roman" w:hAnsi="Times New Roman" w:cs="Times New Roman"/>
          <w:sz w:val="28"/>
          <w:szCs w:val="28"/>
        </w:rPr>
        <w:t xml:space="preserve"> </w:t>
      </w:r>
      <w:r w:rsidR="00852B86">
        <w:rPr>
          <w:rFonts w:ascii="Times New Roman" w:hAnsi="Times New Roman" w:cs="Times New Roman"/>
          <w:sz w:val="28"/>
          <w:szCs w:val="28"/>
        </w:rPr>
        <w:t>г.</w:t>
      </w:r>
    </w:p>
    <w:p w:rsid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4.</w:t>
      </w:r>
      <w:r w:rsidR="00852B86">
        <w:rPr>
          <w:rFonts w:ascii="Times New Roman" w:hAnsi="Times New Roman" w:cs="Times New Roman"/>
          <w:sz w:val="28"/>
          <w:szCs w:val="28"/>
        </w:rPr>
        <w:t xml:space="preserve"> </w:t>
      </w:r>
      <w:r w:rsidR="001D6E7D">
        <w:rPr>
          <w:rFonts w:ascii="Times New Roman" w:hAnsi="Times New Roman" w:cs="Times New Roman"/>
          <w:sz w:val="28"/>
          <w:szCs w:val="28"/>
        </w:rPr>
        <w:t>а.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5.</w:t>
      </w:r>
      <w:r w:rsidR="001D6E7D">
        <w:rPr>
          <w:rFonts w:ascii="Times New Roman" w:hAnsi="Times New Roman" w:cs="Times New Roman"/>
          <w:sz w:val="28"/>
          <w:szCs w:val="28"/>
        </w:rPr>
        <w:t xml:space="preserve"> </w:t>
      </w:r>
      <w:r w:rsidR="00A94146">
        <w:rPr>
          <w:rFonts w:ascii="Times New Roman" w:hAnsi="Times New Roman" w:cs="Times New Roman"/>
          <w:sz w:val="28"/>
          <w:szCs w:val="28"/>
        </w:rPr>
        <w:t>в</w:t>
      </w:r>
      <w:r w:rsidR="00C23910">
        <w:rPr>
          <w:rFonts w:ascii="Times New Roman" w:hAnsi="Times New Roman" w:cs="Times New Roman"/>
          <w:sz w:val="28"/>
          <w:szCs w:val="28"/>
        </w:rPr>
        <w:t>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6.</w:t>
      </w:r>
      <w:r w:rsidR="00C23910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7.</w:t>
      </w:r>
      <w:r w:rsidR="00C2391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8.</w:t>
      </w:r>
      <w:r w:rsidR="00C23910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9.</w:t>
      </w:r>
      <w:r w:rsidR="00C23910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10.</w:t>
      </w:r>
      <w:r w:rsidR="00C2391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11.</w:t>
      </w:r>
      <w:r w:rsidR="00C23910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12.</w:t>
      </w:r>
      <w:r w:rsidR="00C23910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13.</w:t>
      </w:r>
      <w:r w:rsidR="00C23910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14.</w:t>
      </w:r>
      <w:r w:rsidR="00C23910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15.</w:t>
      </w:r>
      <w:r w:rsidR="00C23910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19FA" w:rsidRDefault="002A19FA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Задание 4.</w:t>
      </w:r>
    </w:p>
    <w:p w:rsidR="00490FE6" w:rsidRDefault="00490FE6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FE6" w:rsidRPr="00490FE6" w:rsidRDefault="00490FE6" w:rsidP="00490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490FE6">
        <w:rPr>
          <w:rFonts w:ascii="Times New Roman" w:hAnsi="Times New Roman" w:cs="Arial"/>
          <w:sz w:val="28"/>
          <w:szCs w:val="20"/>
        </w:rPr>
        <w:t xml:space="preserve">103 04 09 1810399 823 – </w:t>
      </w:r>
      <w:r w:rsidRPr="00490FE6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Иные субсидии государственным корпорациям (компаниям)      </w:t>
      </w:r>
    </w:p>
    <w:p w:rsidR="00490FE6" w:rsidRDefault="00490FE6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773B" w:rsidRDefault="007F773B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19FA" w:rsidRPr="002A19FA" w:rsidRDefault="002A19FA" w:rsidP="00F029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Задание 5.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Решение: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Деф=51570000-53425000=1855000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Пред.</w:t>
      </w:r>
      <w:r w:rsidRPr="002A19FA">
        <w:rPr>
          <w:rFonts w:ascii="Times New Roman" w:hAnsi="Times New Roman" w:cs="Times New Roman"/>
          <w:sz w:val="28"/>
          <w:szCs w:val="28"/>
        </w:rPr>
        <w:t>деф=0,10*(51570000-(51570000*0,1175))-1910450=2640602,5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F0297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уб. </w:t>
      </w:r>
      <w:r w:rsidRPr="002A19FA">
        <w:rPr>
          <w:rFonts w:ascii="Times New Roman" w:hAnsi="Times New Roman" w:cs="Times New Roman"/>
          <w:sz w:val="28"/>
          <w:szCs w:val="28"/>
        </w:rPr>
        <w:t>&gt;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1855000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2A19FA">
        <w:rPr>
          <w:rFonts w:ascii="Times New Roman" w:hAnsi="Times New Roman" w:cs="Times New Roman"/>
          <w:sz w:val="28"/>
          <w:szCs w:val="28"/>
        </w:rPr>
        <w:t>=&gt; размер дефицита не превышает предельного зн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чения.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Пред</w:t>
      </w:r>
      <w:r w:rsidR="00F02974">
        <w:rPr>
          <w:rFonts w:ascii="Times New Roman" w:hAnsi="Times New Roman" w:cs="Times New Roman"/>
          <w:sz w:val="28"/>
          <w:szCs w:val="28"/>
        </w:rPr>
        <w:t>.</w:t>
      </w:r>
      <w:r w:rsidRPr="002A19FA">
        <w:rPr>
          <w:rFonts w:ascii="Times New Roman" w:hAnsi="Times New Roman" w:cs="Times New Roman"/>
          <w:sz w:val="28"/>
          <w:szCs w:val="28"/>
        </w:rPr>
        <w:t xml:space="preserve"> р-р рез</w:t>
      </w:r>
      <w:r w:rsidR="00F02974">
        <w:rPr>
          <w:rFonts w:ascii="Times New Roman" w:hAnsi="Times New Roman" w:cs="Times New Roman"/>
          <w:sz w:val="28"/>
          <w:szCs w:val="28"/>
        </w:rPr>
        <w:t>.</w:t>
      </w:r>
      <w:r w:rsidRPr="002A19FA">
        <w:rPr>
          <w:rFonts w:ascii="Times New Roman" w:hAnsi="Times New Roman" w:cs="Times New Roman"/>
          <w:sz w:val="28"/>
          <w:szCs w:val="28"/>
        </w:rPr>
        <w:t xml:space="preserve"> </w:t>
      </w:r>
      <w:r w:rsidR="00F02974" w:rsidRPr="002A19FA">
        <w:rPr>
          <w:rFonts w:ascii="Times New Roman" w:hAnsi="Times New Roman" w:cs="Times New Roman"/>
          <w:sz w:val="28"/>
          <w:szCs w:val="28"/>
        </w:rPr>
        <w:t>Ф</w:t>
      </w:r>
      <w:r w:rsidRPr="002A19FA">
        <w:rPr>
          <w:rFonts w:ascii="Times New Roman" w:hAnsi="Times New Roman" w:cs="Times New Roman"/>
          <w:sz w:val="28"/>
          <w:szCs w:val="28"/>
        </w:rPr>
        <w:t>онда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=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51570000*0,03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=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1547100</w:t>
      </w:r>
      <w:r w:rsidR="00F02974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2A19FA">
        <w:rPr>
          <w:rFonts w:ascii="Times New Roman" w:hAnsi="Times New Roman" w:cs="Times New Roman"/>
          <w:sz w:val="28"/>
          <w:szCs w:val="28"/>
        </w:rPr>
        <w:t>&gt;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1140500</w:t>
      </w:r>
      <w:r w:rsidR="00F0297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A19FA">
        <w:rPr>
          <w:rFonts w:ascii="Times New Roman" w:hAnsi="Times New Roman" w:cs="Times New Roman"/>
          <w:sz w:val="28"/>
          <w:szCs w:val="28"/>
        </w:rPr>
        <w:t xml:space="preserve"> =&gt; размер резервного фонда не превышает предельного значения.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Пред</w:t>
      </w:r>
      <w:r w:rsidR="00F02974">
        <w:rPr>
          <w:rFonts w:ascii="Times New Roman" w:hAnsi="Times New Roman" w:cs="Times New Roman"/>
          <w:sz w:val="28"/>
          <w:szCs w:val="28"/>
        </w:rPr>
        <w:t>.</w:t>
      </w:r>
      <w:r w:rsidRPr="002A19FA">
        <w:rPr>
          <w:rFonts w:ascii="Times New Roman" w:hAnsi="Times New Roman" w:cs="Times New Roman"/>
          <w:sz w:val="28"/>
          <w:szCs w:val="28"/>
        </w:rPr>
        <w:t xml:space="preserve"> объем расх</w:t>
      </w:r>
      <w:r w:rsidR="00F02974">
        <w:rPr>
          <w:rFonts w:ascii="Times New Roman" w:hAnsi="Times New Roman" w:cs="Times New Roman"/>
          <w:sz w:val="28"/>
          <w:szCs w:val="28"/>
        </w:rPr>
        <w:t>.</w:t>
      </w:r>
      <w:r w:rsidRPr="002A19FA">
        <w:rPr>
          <w:rFonts w:ascii="Times New Roman" w:hAnsi="Times New Roman" w:cs="Times New Roman"/>
          <w:sz w:val="28"/>
          <w:szCs w:val="28"/>
        </w:rPr>
        <w:t xml:space="preserve"> на обслуж</w:t>
      </w:r>
      <w:r w:rsidR="00F02974">
        <w:rPr>
          <w:rFonts w:ascii="Times New Roman" w:hAnsi="Times New Roman" w:cs="Times New Roman"/>
          <w:sz w:val="28"/>
          <w:szCs w:val="28"/>
        </w:rPr>
        <w:t>.</w:t>
      </w:r>
      <w:r w:rsidRPr="002A19FA">
        <w:rPr>
          <w:rFonts w:ascii="Times New Roman" w:hAnsi="Times New Roman" w:cs="Times New Roman"/>
          <w:sz w:val="28"/>
          <w:szCs w:val="28"/>
        </w:rPr>
        <w:t xml:space="preserve"> </w:t>
      </w:r>
      <w:r w:rsidR="00F02974">
        <w:rPr>
          <w:rFonts w:ascii="Times New Roman" w:hAnsi="Times New Roman" w:cs="Times New Roman"/>
          <w:sz w:val="28"/>
          <w:szCs w:val="28"/>
        </w:rPr>
        <w:t>м</w:t>
      </w:r>
      <w:r w:rsidRPr="002A19FA">
        <w:rPr>
          <w:rFonts w:ascii="Times New Roman" w:hAnsi="Times New Roman" w:cs="Times New Roman"/>
          <w:sz w:val="28"/>
          <w:szCs w:val="28"/>
        </w:rPr>
        <w:t>ун</w:t>
      </w:r>
      <w:r w:rsidR="00F02974">
        <w:rPr>
          <w:rFonts w:ascii="Times New Roman" w:hAnsi="Times New Roman" w:cs="Times New Roman"/>
          <w:sz w:val="28"/>
          <w:szCs w:val="28"/>
        </w:rPr>
        <w:t>.</w:t>
      </w:r>
      <w:r w:rsidRPr="002A19FA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=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0,15*(53425000-4610250)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=</w:t>
      </w:r>
      <w:r w:rsidR="00F02974">
        <w:rPr>
          <w:rFonts w:ascii="Times New Roman" w:hAnsi="Times New Roman" w:cs="Times New Roman"/>
          <w:sz w:val="28"/>
          <w:szCs w:val="28"/>
        </w:rPr>
        <w:t xml:space="preserve"> =</w:t>
      </w:r>
      <w:r w:rsidRPr="002A19FA">
        <w:rPr>
          <w:rFonts w:ascii="Times New Roman" w:hAnsi="Times New Roman" w:cs="Times New Roman"/>
          <w:sz w:val="28"/>
          <w:szCs w:val="28"/>
        </w:rPr>
        <w:t>7322212,5</w:t>
      </w:r>
      <w:r w:rsidR="00F0297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A19FA" w:rsidRPr="002A19FA" w:rsidRDefault="002A19FA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19FA">
        <w:rPr>
          <w:rFonts w:ascii="Times New Roman" w:hAnsi="Times New Roman" w:cs="Times New Roman"/>
          <w:sz w:val="28"/>
          <w:szCs w:val="28"/>
        </w:rPr>
        <w:t>Бюджет может быть утвержден, все показатели соответствуют треб</w:t>
      </w:r>
      <w:r w:rsidRPr="002A19FA">
        <w:rPr>
          <w:rFonts w:ascii="Times New Roman" w:hAnsi="Times New Roman" w:cs="Times New Roman"/>
          <w:sz w:val="28"/>
          <w:szCs w:val="28"/>
        </w:rPr>
        <w:t>о</w:t>
      </w:r>
      <w:r w:rsidRPr="002A19FA">
        <w:rPr>
          <w:rFonts w:ascii="Times New Roman" w:hAnsi="Times New Roman" w:cs="Times New Roman"/>
          <w:sz w:val="28"/>
          <w:szCs w:val="28"/>
        </w:rPr>
        <w:t>ваниям Бюджетного кодекса РФ. Предельный объем расходов на обслужив</w:t>
      </w:r>
      <w:r w:rsidRPr="002A19FA">
        <w:rPr>
          <w:rFonts w:ascii="Times New Roman" w:hAnsi="Times New Roman" w:cs="Times New Roman"/>
          <w:sz w:val="28"/>
          <w:szCs w:val="28"/>
        </w:rPr>
        <w:t>а</w:t>
      </w:r>
      <w:r w:rsidRPr="002A19FA">
        <w:rPr>
          <w:rFonts w:ascii="Times New Roman" w:hAnsi="Times New Roman" w:cs="Times New Roman"/>
          <w:sz w:val="28"/>
          <w:szCs w:val="28"/>
        </w:rPr>
        <w:t>ние муниципального долга составляет 732212,5 тыс.</w:t>
      </w:r>
      <w:r w:rsidR="00F02974">
        <w:rPr>
          <w:rFonts w:ascii="Times New Roman" w:hAnsi="Times New Roman" w:cs="Times New Roman"/>
          <w:sz w:val="28"/>
          <w:szCs w:val="28"/>
        </w:rPr>
        <w:t xml:space="preserve"> </w:t>
      </w:r>
      <w:r w:rsidRPr="002A19FA">
        <w:rPr>
          <w:rFonts w:ascii="Times New Roman" w:hAnsi="Times New Roman" w:cs="Times New Roman"/>
          <w:sz w:val="28"/>
          <w:szCs w:val="28"/>
        </w:rPr>
        <w:t>руб.</w:t>
      </w:r>
    </w:p>
    <w:p w:rsidR="00B208AE" w:rsidRDefault="00B208AE" w:rsidP="002A19F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208AE" w:rsidRDefault="00B208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19FA" w:rsidRDefault="00B208AE" w:rsidP="00B208A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Список </w:t>
      </w:r>
      <w:r w:rsidR="00C23910">
        <w:rPr>
          <w:rFonts w:ascii="Times New Roman" w:hAnsi="Times New Roman" w:cs="Times New Roman"/>
          <w:sz w:val="28"/>
          <w:szCs w:val="28"/>
        </w:rPr>
        <w:t xml:space="preserve">использованных </w:t>
      </w:r>
      <w:r>
        <w:rPr>
          <w:rFonts w:ascii="Times New Roman" w:hAnsi="Times New Roman" w:cs="Times New Roman"/>
          <w:sz w:val="28"/>
          <w:szCs w:val="28"/>
        </w:rPr>
        <w:t>источников</w:t>
      </w:r>
    </w:p>
    <w:p w:rsidR="006C2C26" w:rsidRDefault="006C2C26" w:rsidP="00B208A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1F86" w:rsidRPr="008B1F86" w:rsidRDefault="008B1F86" w:rsidP="008B1F86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B1F86">
        <w:rPr>
          <w:rFonts w:ascii="Times New Roman" w:hAnsi="Times New Roman" w:cs="Times New Roman"/>
          <w:sz w:val="28"/>
          <w:szCs w:val="28"/>
        </w:rPr>
        <w:t>Бюджетный кодекс РФ: федер. закон от 31.07.1998 № 145-ФЗ (ред. от 23.07.2013) (с изм. и доп., вступившими в силу с 01.01.2014). – М.: ИНФРА-М., 2013. – 224 с.</w:t>
      </w:r>
    </w:p>
    <w:p w:rsidR="006C2C26" w:rsidRPr="008B1F86" w:rsidRDefault="006C2C26" w:rsidP="008B1F86">
      <w:pPr>
        <w:pStyle w:val="11"/>
        <w:shd w:val="clear" w:color="auto" w:fill="FFFFFF"/>
        <w:tabs>
          <w:tab w:val="left" w:pos="1134"/>
        </w:tabs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8B1F86">
        <w:rPr>
          <w:sz w:val="28"/>
          <w:szCs w:val="28"/>
        </w:rPr>
        <w:t xml:space="preserve"> </w:t>
      </w:r>
      <w:r w:rsidR="008B1F86">
        <w:rPr>
          <w:sz w:val="28"/>
          <w:szCs w:val="28"/>
        </w:rPr>
        <w:t>2</w:t>
      </w:r>
      <w:r w:rsidRPr="008B1F86">
        <w:rPr>
          <w:sz w:val="28"/>
          <w:szCs w:val="28"/>
        </w:rPr>
        <w:t>. О Счетной палате РФ: Федеральный закон РФ от 05.04.2013 г. № 41-ФЗ (ред. от 23.07.2013).</w:t>
      </w:r>
    </w:p>
    <w:p w:rsidR="006C2C26" w:rsidRDefault="008B1F86" w:rsidP="008B1F86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2C26" w:rsidRPr="008B1F86">
        <w:rPr>
          <w:rFonts w:ascii="Times New Roman" w:hAnsi="Times New Roman" w:cs="Times New Roman"/>
          <w:sz w:val="28"/>
          <w:szCs w:val="28"/>
        </w:rPr>
        <w:t>. Бюджетная система России: учебник для студентов вузов, обуча</w:t>
      </w:r>
      <w:r w:rsidR="006C2C26" w:rsidRPr="008B1F86">
        <w:rPr>
          <w:rFonts w:ascii="Times New Roman" w:hAnsi="Times New Roman" w:cs="Times New Roman"/>
          <w:sz w:val="28"/>
          <w:szCs w:val="28"/>
        </w:rPr>
        <w:t>ю</w:t>
      </w:r>
      <w:r w:rsidR="006C2C26" w:rsidRPr="008B1F86">
        <w:rPr>
          <w:rFonts w:ascii="Times New Roman" w:hAnsi="Times New Roman" w:cs="Times New Roman"/>
          <w:sz w:val="28"/>
          <w:szCs w:val="28"/>
        </w:rPr>
        <w:t>щихся по экономическим специальностям  / под ред. Г.Б. Поляка. – 3-е изд., перераб. и доп. – М.: ЮНИТИ-ДАНА, 2011. – 703 с.</w:t>
      </w:r>
    </w:p>
    <w:p w:rsidR="008B1F86" w:rsidRPr="008B1F86" w:rsidRDefault="008B1F86" w:rsidP="008B1F86">
      <w:pPr>
        <w:pStyle w:val="20"/>
        <w:widowControl w:val="0"/>
        <w:spacing w:after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8B1F86">
        <w:rPr>
          <w:sz w:val="28"/>
          <w:szCs w:val="28"/>
        </w:rPr>
        <w:t xml:space="preserve">. Счетная палата РФ. – </w:t>
      </w:r>
      <w:r w:rsidRPr="008B1F86">
        <w:rPr>
          <w:sz w:val="28"/>
          <w:szCs w:val="28"/>
          <w:lang w:val="en-US"/>
        </w:rPr>
        <w:t>URL</w:t>
      </w:r>
      <w:r w:rsidRPr="008B1F86">
        <w:rPr>
          <w:sz w:val="28"/>
          <w:szCs w:val="28"/>
        </w:rPr>
        <w:t xml:space="preserve">: </w:t>
      </w:r>
      <w:r w:rsidRPr="008B1F86">
        <w:rPr>
          <w:sz w:val="28"/>
          <w:szCs w:val="28"/>
          <w:lang w:val="en-US"/>
        </w:rPr>
        <w:t>http</w:t>
      </w:r>
      <w:r w:rsidRPr="008B1F86">
        <w:rPr>
          <w:sz w:val="28"/>
          <w:szCs w:val="28"/>
          <w:vertAlign w:val="superscript"/>
        </w:rPr>
        <w:t xml:space="preserve">: </w:t>
      </w:r>
      <w:r w:rsidRPr="008B1F86">
        <w:rPr>
          <w:sz w:val="28"/>
          <w:szCs w:val="28"/>
        </w:rPr>
        <w:t xml:space="preserve">// </w:t>
      </w:r>
      <w:hyperlink r:id="rId14" w:history="1">
        <w:r w:rsidRPr="008B1F86">
          <w:rPr>
            <w:rStyle w:val="aa"/>
            <w:sz w:val="28"/>
            <w:szCs w:val="28"/>
            <w:lang w:val="en-US"/>
          </w:rPr>
          <w:t>www</w:t>
        </w:r>
        <w:r w:rsidRPr="008B1F86">
          <w:rPr>
            <w:rStyle w:val="aa"/>
            <w:sz w:val="28"/>
            <w:szCs w:val="28"/>
          </w:rPr>
          <w:t>.</w:t>
        </w:r>
        <w:r w:rsidRPr="008B1F86">
          <w:rPr>
            <w:rStyle w:val="aa"/>
            <w:sz w:val="28"/>
            <w:szCs w:val="28"/>
            <w:lang w:val="en-US"/>
          </w:rPr>
          <w:t>ach</w:t>
        </w:r>
        <w:r w:rsidRPr="008B1F86">
          <w:rPr>
            <w:rStyle w:val="aa"/>
            <w:sz w:val="28"/>
            <w:szCs w:val="28"/>
          </w:rPr>
          <w:t>.</w:t>
        </w:r>
        <w:r w:rsidRPr="008B1F86">
          <w:rPr>
            <w:rStyle w:val="aa"/>
            <w:sz w:val="28"/>
            <w:szCs w:val="28"/>
            <w:lang w:val="en-US"/>
          </w:rPr>
          <w:t>gov</w:t>
        </w:r>
        <w:r w:rsidRPr="008B1F86">
          <w:rPr>
            <w:rStyle w:val="aa"/>
            <w:sz w:val="28"/>
            <w:szCs w:val="28"/>
          </w:rPr>
          <w:t>.</w:t>
        </w:r>
        <w:r w:rsidRPr="008B1F86">
          <w:rPr>
            <w:rStyle w:val="aa"/>
            <w:sz w:val="28"/>
            <w:szCs w:val="28"/>
            <w:lang w:val="en-US"/>
          </w:rPr>
          <w:t>ru</w:t>
        </w:r>
      </w:hyperlink>
      <w:r w:rsidRPr="008B1F86">
        <w:rPr>
          <w:sz w:val="28"/>
          <w:szCs w:val="28"/>
        </w:rPr>
        <w:t>, свободный. – Загл. с экрана. – (Дата обращения 10.11.2013).</w:t>
      </w:r>
    </w:p>
    <w:p w:rsidR="008B1F86" w:rsidRPr="008B1F86" w:rsidRDefault="008B1F86" w:rsidP="008B1F86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4545B" w:rsidRDefault="0014545B" w:rsidP="0014545B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left="717" w:firstLine="0"/>
        <w:rPr>
          <w:rFonts w:ascii="Times New Roman" w:hAnsi="Times New Roman" w:cs="Times New Roman"/>
          <w:sz w:val="24"/>
          <w:szCs w:val="24"/>
        </w:rPr>
      </w:pPr>
    </w:p>
    <w:p w:rsidR="006C2C26" w:rsidRPr="006C2C26" w:rsidRDefault="006C2C26" w:rsidP="0014545B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left="717" w:firstLine="0"/>
        <w:rPr>
          <w:rFonts w:ascii="Times New Roman" w:hAnsi="Times New Roman" w:cs="Times New Roman"/>
          <w:sz w:val="24"/>
          <w:szCs w:val="24"/>
        </w:rPr>
      </w:pPr>
    </w:p>
    <w:p w:rsidR="006C2C26" w:rsidRPr="006C2C26" w:rsidRDefault="006C2C26" w:rsidP="0014545B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left="717" w:firstLine="0"/>
        <w:rPr>
          <w:rFonts w:ascii="Times New Roman" w:hAnsi="Times New Roman" w:cs="Times New Roman"/>
          <w:sz w:val="24"/>
          <w:szCs w:val="24"/>
        </w:rPr>
      </w:pPr>
    </w:p>
    <w:p w:rsidR="006C2C26" w:rsidRPr="00685B9F" w:rsidRDefault="006C2C26" w:rsidP="006C2C26">
      <w:pPr>
        <w:pStyle w:val="11"/>
        <w:shd w:val="clear" w:color="auto" w:fill="FFFFFF"/>
        <w:tabs>
          <w:tab w:val="left" w:pos="1134"/>
        </w:tabs>
        <w:snapToGrid w:val="0"/>
        <w:ind w:left="357"/>
        <w:jc w:val="both"/>
        <w:rPr>
          <w:sz w:val="24"/>
          <w:szCs w:val="24"/>
        </w:rPr>
      </w:pPr>
    </w:p>
    <w:p w:rsidR="006C2C26" w:rsidRPr="002A19FA" w:rsidRDefault="006C2C26" w:rsidP="006C2C26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6C2C26" w:rsidRPr="002A19FA" w:rsidSect="002F2D31">
      <w:headerReference w:type="defaul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8B" w:rsidRDefault="0040548B" w:rsidP="006379DC">
      <w:pPr>
        <w:spacing w:line="240" w:lineRule="auto"/>
      </w:pPr>
      <w:r>
        <w:separator/>
      </w:r>
    </w:p>
  </w:endnote>
  <w:endnote w:type="continuationSeparator" w:id="0">
    <w:p w:rsidR="0040548B" w:rsidRDefault="0040548B" w:rsidP="006379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8B" w:rsidRDefault="0040548B" w:rsidP="006379DC">
      <w:pPr>
        <w:spacing w:line="240" w:lineRule="auto"/>
      </w:pPr>
      <w:r>
        <w:separator/>
      </w:r>
    </w:p>
  </w:footnote>
  <w:footnote w:type="continuationSeparator" w:id="0">
    <w:p w:rsidR="0040548B" w:rsidRDefault="0040548B" w:rsidP="006379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767"/>
      <w:docPartObj>
        <w:docPartGallery w:val="Page Numbers (Top of Page)"/>
        <w:docPartUnique/>
      </w:docPartObj>
    </w:sdtPr>
    <w:sdtContent>
      <w:p w:rsidR="0014545B" w:rsidRDefault="006E30D3">
        <w:pPr>
          <w:pStyle w:val="a5"/>
          <w:jc w:val="center"/>
        </w:pPr>
        <w:fldSimple w:instr=" PAGE   \* MERGEFORMAT ">
          <w:r w:rsidR="003F057D">
            <w:rPr>
              <w:noProof/>
            </w:rPr>
            <w:t>16</w:t>
          </w:r>
        </w:fldSimple>
      </w:p>
    </w:sdtContent>
  </w:sdt>
  <w:p w:rsidR="0014545B" w:rsidRDefault="001454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A70"/>
    <w:multiLevelType w:val="hybridMultilevel"/>
    <w:tmpl w:val="7E423A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5157BE"/>
    <w:multiLevelType w:val="hybridMultilevel"/>
    <w:tmpl w:val="2A28C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3F58F4"/>
    <w:multiLevelType w:val="hybridMultilevel"/>
    <w:tmpl w:val="EBC0B5D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BB0"/>
    <w:rsid w:val="000202E3"/>
    <w:rsid w:val="00113EC6"/>
    <w:rsid w:val="0014545B"/>
    <w:rsid w:val="001667AB"/>
    <w:rsid w:val="00176363"/>
    <w:rsid w:val="001A0509"/>
    <w:rsid w:val="001D6E7D"/>
    <w:rsid w:val="00226544"/>
    <w:rsid w:val="0025181C"/>
    <w:rsid w:val="002A19FA"/>
    <w:rsid w:val="002A6331"/>
    <w:rsid w:val="002F2D31"/>
    <w:rsid w:val="00304667"/>
    <w:rsid w:val="00350557"/>
    <w:rsid w:val="003E4949"/>
    <w:rsid w:val="003F057D"/>
    <w:rsid w:val="0040548B"/>
    <w:rsid w:val="00440BBD"/>
    <w:rsid w:val="00490FE6"/>
    <w:rsid w:val="00572EA3"/>
    <w:rsid w:val="00623FCD"/>
    <w:rsid w:val="006379DC"/>
    <w:rsid w:val="00670FD5"/>
    <w:rsid w:val="006B02E2"/>
    <w:rsid w:val="006C2C26"/>
    <w:rsid w:val="006E30D3"/>
    <w:rsid w:val="007921A2"/>
    <w:rsid w:val="007F773B"/>
    <w:rsid w:val="0081177E"/>
    <w:rsid w:val="00825F1C"/>
    <w:rsid w:val="00852B86"/>
    <w:rsid w:val="00863A71"/>
    <w:rsid w:val="008B1F86"/>
    <w:rsid w:val="00946EBD"/>
    <w:rsid w:val="00A31DE7"/>
    <w:rsid w:val="00A94146"/>
    <w:rsid w:val="00AB7BB0"/>
    <w:rsid w:val="00B208AE"/>
    <w:rsid w:val="00B22A30"/>
    <w:rsid w:val="00B84EDC"/>
    <w:rsid w:val="00C23910"/>
    <w:rsid w:val="00C30CB1"/>
    <w:rsid w:val="00C4221A"/>
    <w:rsid w:val="00C61AAA"/>
    <w:rsid w:val="00C90D52"/>
    <w:rsid w:val="00C966BC"/>
    <w:rsid w:val="00CB60F5"/>
    <w:rsid w:val="00D22FB9"/>
    <w:rsid w:val="00E744BB"/>
    <w:rsid w:val="00E76406"/>
    <w:rsid w:val="00EA103B"/>
    <w:rsid w:val="00EB5B31"/>
    <w:rsid w:val="00ED6E77"/>
    <w:rsid w:val="00EE2548"/>
    <w:rsid w:val="00F02974"/>
    <w:rsid w:val="00F23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7BB0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B02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2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379D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79DC"/>
  </w:style>
  <w:style w:type="paragraph" w:styleId="a7">
    <w:name w:val="footer"/>
    <w:basedOn w:val="a"/>
    <w:link w:val="a8"/>
    <w:uiPriority w:val="99"/>
    <w:semiHidden/>
    <w:unhideWhenUsed/>
    <w:rsid w:val="006379D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79DC"/>
  </w:style>
  <w:style w:type="paragraph" w:styleId="HTML">
    <w:name w:val="HTML Preformatted"/>
    <w:basedOn w:val="a"/>
    <w:link w:val="HTML0"/>
    <w:uiPriority w:val="99"/>
    <w:semiHidden/>
    <w:unhideWhenUsed/>
    <w:rsid w:val="00490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0FE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490FE6"/>
  </w:style>
  <w:style w:type="paragraph" w:styleId="a9">
    <w:name w:val="List Paragraph"/>
    <w:basedOn w:val="a"/>
    <w:qFormat/>
    <w:rsid w:val="00E76406"/>
    <w:pPr>
      <w:spacing w:after="200" w:line="276" w:lineRule="auto"/>
      <w:ind w:left="720" w:firstLine="0"/>
      <w:contextualSpacing/>
      <w:jc w:val="left"/>
    </w:pPr>
  </w:style>
  <w:style w:type="paragraph" w:customStyle="1" w:styleId="1">
    <w:name w:val="Стиль1"/>
    <w:basedOn w:val="a"/>
    <w:rsid w:val="00E76406"/>
    <w:pPr>
      <w:tabs>
        <w:tab w:val="left" w:pos="709"/>
      </w:tabs>
      <w:overflowPunct w:val="0"/>
      <w:autoSpaceDE w:val="0"/>
      <w:autoSpaceDN w:val="0"/>
      <w:adjustRightInd w:val="0"/>
      <w:spacing w:line="288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1"/>
    <w:basedOn w:val="a"/>
    <w:rsid w:val="00E76406"/>
    <w:pPr>
      <w:keepLines/>
      <w:spacing w:line="240" w:lineRule="auto"/>
      <w:ind w:firstLine="567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">
    <w:name w:val="Текст2"/>
    <w:basedOn w:val="a"/>
    <w:rsid w:val="00E76406"/>
    <w:pPr>
      <w:keepLines/>
      <w:spacing w:line="240" w:lineRule="auto"/>
      <w:ind w:firstLine="567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11">
    <w:name w:val="Обычный1"/>
    <w:rsid w:val="006C2C26"/>
    <w:pPr>
      <w:widowControl w:val="0"/>
      <w:spacing w:line="240" w:lineRule="auto"/>
      <w:ind w:firstLine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Hyperlink"/>
    <w:basedOn w:val="a0"/>
    <w:unhideWhenUsed/>
    <w:rsid w:val="006C2C26"/>
    <w:rPr>
      <w:color w:val="0000FF"/>
      <w:u w:val="single"/>
    </w:rPr>
  </w:style>
  <w:style w:type="paragraph" w:styleId="20">
    <w:name w:val="Body Text 2"/>
    <w:basedOn w:val="a"/>
    <w:link w:val="21"/>
    <w:rsid w:val="0014545B"/>
    <w:pPr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1454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ach.gov.ru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2;&#1040;&#1056;&#1048;&#1071;\Desktop\&#1057;&#1045;&#1057;&#1057;&#1048;&#1071;\&#1073;&#1102;&#1076;&#1078;&#1077;&#1090;&#1082;&#1072;\&#1089;&#1093;&#1077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2;&#1040;&#1056;&#1048;&#1071;\Desktop\&#1057;&#1045;&#1057;&#1057;&#1048;&#1071;\&#1073;&#1102;&#1076;&#1078;&#1077;&#1090;&#1082;&#1072;\&#1089;&#1093;&#1077;&#1084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2;&#1040;&#1056;&#1048;&#1071;\Desktop\&#1057;&#1045;&#1057;&#1057;&#1048;&#1071;\&#1073;&#1102;&#1076;&#1078;&#1077;&#1090;&#1082;&#1072;\&#1089;&#1093;&#1077;&#1084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2;&#1040;&#1056;&#1048;&#1071;\Desktop\&#1057;&#1045;&#1057;&#1057;&#1048;&#1071;\&#1073;&#1102;&#1076;&#1078;&#1077;&#1090;&#1082;&#1072;\&#1089;&#1093;&#1077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Проведено контрольных мероприятий</a:t>
            </a:r>
          </a:p>
        </c:rich>
      </c:tx>
      <c:layout>
        <c:manualLayout>
          <c:xMode val="edge"/>
          <c:yMode val="edge"/>
          <c:x val="0.15454855643044674"/>
          <c:y val="3.2407407407407544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5014129483814559"/>
          <c:y val="0.16292833187518294"/>
          <c:w val="0.62798512685914265"/>
          <c:h val="0.67743802857976165"/>
        </c:manualLayout>
      </c:layout>
      <c:bar3DChart>
        <c:barDir val="col"/>
        <c:grouping val="clustered"/>
        <c:ser>
          <c:idx val="0"/>
          <c:order val="0"/>
          <c:tx>
            <c:v>контрольные мероприятия</c:v>
          </c:tx>
          <c:dLbls>
            <c:dLbl>
              <c:idx val="0"/>
              <c:layout>
                <c:manualLayout>
                  <c:x val="1.3888888888888938E-2"/>
                  <c:y val="-4.6296296296296207E-3"/>
                </c:manualLayout>
              </c:layout>
              <c:showVal val="1"/>
            </c:dLbl>
            <c:dLbl>
              <c:idx val="1"/>
              <c:layout>
                <c:manualLayout>
                  <c:x val="1.6666666666666666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6666666666666708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Лист1!$A$4:$C$4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Лист1!$A$5:$C$5</c:f>
              <c:numCache>
                <c:formatCode>General</c:formatCode>
                <c:ptCount val="3"/>
                <c:pt idx="0">
                  <c:v>371</c:v>
                </c:pt>
                <c:pt idx="1">
                  <c:v>370</c:v>
                </c:pt>
                <c:pt idx="2">
                  <c:v>370</c:v>
                </c:pt>
              </c:numCache>
            </c:numRef>
          </c:val>
        </c:ser>
        <c:shape val="cylinder"/>
        <c:axId val="117242496"/>
        <c:axId val="123745024"/>
        <c:axId val="0"/>
      </c:bar3DChart>
      <c:catAx>
        <c:axId val="117242496"/>
        <c:scaling>
          <c:orientation val="minMax"/>
        </c:scaling>
        <c:axPos val="b"/>
        <c:numFmt formatCode="General" sourceLinked="1"/>
        <c:tickLblPos val="nextTo"/>
        <c:crossAx val="123745024"/>
        <c:crosses val="autoZero"/>
        <c:auto val="1"/>
        <c:lblAlgn val="ctr"/>
        <c:lblOffset val="100"/>
      </c:catAx>
      <c:valAx>
        <c:axId val="123745024"/>
        <c:scaling>
          <c:orientation val="minMax"/>
          <c:max val="400"/>
          <c:min val="300"/>
        </c:scaling>
        <c:axPos val="l"/>
        <c:majorGridlines/>
        <c:numFmt formatCode="General" sourceLinked="1"/>
        <c:tickLblPos val="nextTo"/>
        <c:crossAx val="117242496"/>
        <c:crosses val="autoZero"/>
        <c:crossBetween val="between"/>
        <c:majorUnit val="50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Выявлено нарушений законодательства в финансово-бюджетной сфере, млрд. руб.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14810806628750001"/>
          <c:y val="0.2973850602816589"/>
          <c:w val="0.78583960455453028"/>
          <c:h val="0.44421481530174539"/>
        </c:manualLayout>
      </c:layout>
      <c:bar3DChart>
        <c:barDir val="bar"/>
        <c:grouping val="clustered"/>
        <c:ser>
          <c:idx val="0"/>
          <c:order val="0"/>
          <c:tx>
            <c:v>Выявлено нарушений законодательства в финансово-бюджетной сфере, млрд. рублей</c:v>
          </c:tx>
          <c:dLbls>
            <c:dLbl>
              <c:idx val="0"/>
              <c:layout>
                <c:manualLayout>
                  <c:x val="1.1111111111111125E-2"/>
                  <c:y val="-9.2592592592593073E-3"/>
                </c:manualLayout>
              </c:layout>
              <c:showVal val="1"/>
            </c:dLbl>
            <c:dLbl>
              <c:idx val="1"/>
              <c:layout>
                <c:manualLayout>
                  <c:x val="8.3333333333333367E-3"/>
                  <c:y val="-4.6296296296296441E-3"/>
                </c:manualLayout>
              </c:layout>
              <c:showVal val="1"/>
            </c:dLbl>
            <c:dLbl>
              <c:idx val="2"/>
              <c:layout>
                <c:manualLayout>
                  <c:x val="8.3333333333333367E-3"/>
                  <c:y val="-9.2592592592592639E-3"/>
                </c:manualLayout>
              </c:layout>
              <c:showVal val="1"/>
            </c:dLbl>
            <c:showVal val="1"/>
          </c:dLbls>
          <c:cat>
            <c:numRef>
              <c:f>Лист1!$A$4:$C$4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Лист1!$A$7:$C$7</c:f>
              <c:numCache>
                <c:formatCode>General</c:formatCode>
                <c:ptCount val="3"/>
                <c:pt idx="0">
                  <c:v>483.9</c:v>
                </c:pt>
                <c:pt idx="1">
                  <c:v>718.5</c:v>
                </c:pt>
                <c:pt idx="2">
                  <c:v>781.4</c:v>
                </c:pt>
              </c:numCache>
            </c:numRef>
          </c:val>
        </c:ser>
        <c:shape val="cylinder"/>
        <c:axId val="124889728"/>
        <c:axId val="125116800"/>
        <c:axId val="0"/>
      </c:bar3DChart>
      <c:catAx>
        <c:axId val="124889728"/>
        <c:scaling>
          <c:orientation val="minMax"/>
        </c:scaling>
        <c:axPos val="l"/>
        <c:numFmt formatCode="General" sourceLinked="1"/>
        <c:tickLblPos val="nextTo"/>
        <c:crossAx val="125116800"/>
        <c:crosses val="autoZero"/>
        <c:auto val="1"/>
        <c:lblAlgn val="ctr"/>
        <c:lblOffset val="100"/>
      </c:catAx>
      <c:valAx>
        <c:axId val="125116800"/>
        <c:scaling>
          <c:orientation val="minMax"/>
        </c:scaling>
        <c:axPos val="b"/>
        <c:majorGridlines/>
        <c:numFmt formatCode="General" sourceLinked="1"/>
        <c:tickLblPos val="nextTo"/>
        <c:crossAx val="124889728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endParaRPr lang="ru-RU" sz="1800" baseline="0" smtClean="0"/>
          </a:p>
          <a:p>
            <a:pPr>
              <a:defRPr/>
            </a:pPr>
            <a:r>
              <a:rPr lang="ru-RU" sz="1200" baseline="0" smtClean="0">
                <a:latin typeface="Times New Roman" pitchFamily="18" charset="0"/>
                <a:cs typeface="Times New Roman" pitchFamily="18" charset="0"/>
              </a:rPr>
              <a:t>Количество направленных представлений и предписаний 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5051584289915587"/>
          <c:y val="2.4793392463296784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0833384516483022"/>
          <c:y val="0.26881392611438892"/>
          <c:w val="0.86384647511884938"/>
          <c:h val="0.59021048552774635"/>
        </c:manualLayout>
      </c:layout>
      <c:bar3D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8.3333333333333367E-3"/>
                  <c:y val="-2.7777777777777936E-2"/>
                </c:manualLayout>
              </c:layout>
              <c:showVal val="1"/>
            </c:dLbl>
            <c:dLbl>
              <c:idx val="1"/>
              <c:layout>
                <c:manualLayout>
                  <c:x val="1.6666666666666701E-2"/>
                  <c:y val="-3.2407407407407531E-2"/>
                </c:manualLayout>
              </c:layout>
              <c:showVal val="1"/>
            </c:dLbl>
            <c:dLbl>
              <c:idx val="2"/>
              <c:layout>
                <c:manualLayout>
                  <c:x val="1.3888888888888944E-2"/>
                  <c:y val="-3.2407407407407489E-2"/>
                </c:manualLayout>
              </c:layout>
              <c:showVal val="1"/>
            </c:dLbl>
            <c:showVal val="1"/>
          </c:dLbls>
          <c:cat>
            <c:numRef>
              <c:f>Лист1!$A$45:$C$45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Лист1!$A$46:$C$46</c:f>
              <c:numCache>
                <c:formatCode>General</c:formatCode>
                <c:ptCount val="3"/>
                <c:pt idx="0">
                  <c:v>333</c:v>
                </c:pt>
                <c:pt idx="1">
                  <c:v>336</c:v>
                </c:pt>
                <c:pt idx="2">
                  <c:v>339</c:v>
                </c:pt>
              </c:numCache>
            </c:numRef>
          </c:val>
        </c:ser>
        <c:shape val="cylinder"/>
        <c:axId val="125166336"/>
        <c:axId val="125167872"/>
        <c:axId val="0"/>
      </c:bar3DChart>
      <c:catAx>
        <c:axId val="125166336"/>
        <c:scaling>
          <c:orientation val="minMax"/>
        </c:scaling>
        <c:axPos val="b"/>
        <c:numFmt formatCode="General" sourceLinked="1"/>
        <c:majorTickMark val="none"/>
        <c:tickLblPos val="nextTo"/>
        <c:crossAx val="125167872"/>
        <c:crosses val="autoZero"/>
        <c:auto val="1"/>
        <c:lblAlgn val="ctr"/>
        <c:lblOffset val="100"/>
      </c:catAx>
      <c:valAx>
        <c:axId val="125167872"/>
        <c:scaling>
          <c:orientation val="minMax"/>
          <c:max val="340"/>
          <c:min val="330"/>
        </c:scaling>
        <c:axPos val="l"/>
        <c:majorGridlines/>
        <c:numFmt formatCode="General" sourceLinked="1"/>
        <c:majorTickMark val="none"/>
        <c:tickLblPos val="nextTo"/>
        <c:crossAx val="125166336"/>
        <c:crosses val="autoZero"/>
        <c:crossBetween val="between"/>
        <c:majorUnit val="5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/>
            </a:pPr>
            <a:endParaRPr lang="ru-RU"/>
          </a:p>
          <a:p>
            <a:pPr algn="ctr">
              <a:defRPr/>
            </a:pPr>
            <a:r>
              <a:rPr lang="ru-RU" sz="1400"/>
              <a:t>Реагирование правоохранительных органов </a:t>
            </a:r>
          </a:p>
        </c:rich>
      </c:tx>
    </c:title>
    <c:plotArea>
      <c:layout>
        <c:manualLayout>
          <c:layoutTarget val="inner"/>
          <c:xMode val="edge"/>
          <c:yMode val="edge"/>
          <c:x val="0.10143596006738109"/>
          <c:y val="0.25416801771418368"/>
          <c:w val="0.87691618658574566"/>
          <c:h val="0.34818358524950976"/>
        </c:manualLayout>
      </c:layout>
      <c:barChart>
        <c:barDir val="col"/>
        <c:grouping val="clustered"/>
        <c:ser>
          <c:idx val="0"/>
          <c:order val="0"/>
          <c:tx>
            <c:v>Количество материалов, направленных в органы прокуратуры, иные правоохранительные органы</c:v>
          </c:tx>
          <c:dLbls>
            <c:showVal val="1"/>
          </c:dLbls>
          <c:cat>
            <c:numRef>
              <c:f>Лист1!$A$23:$C$23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Лист1!$A$24:$C$24</c:f>
              <c:numCache>
                <c:formatCode>General</c:formatCode>
                <c:ptCount val="3"/>
                <c:pt idx="0">
                  <c:v>217</c:v>
                </c:pt>
                <c:pt idx="1">
                  <c:v>176</c:v>
                </c:pt>
                <c:pt idx="2">
                  <c:v>164</c:v>
                </c:pt>
              </c:numCache>
            </c:numRef>
          </c:val>
        </c:ser>
        <c:ser>
          <c:idx val="1"/>
          <c:order val="1"/>
          <c:tx>
            <c:v>Количество возбужденных уголовных дел</c:v>
          </c:tx>
          <c:dLbls>
            <c:showVal val="1"/>
          </c:dLbls>
          <c:cat>
            <c:numRef>
              <c:f>Лист1!$A$23:$C$23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Лист1!$A$25:$C$25</c:f>
              <c:numCache>
                <c:formatCode>General</c:formatCode>
                <c:ptCount val="3"/>
                <c:pt idx="0">
                  <c:v>41</c:v>
                </c:pt>
                <c:pt idx="1">
                  <c:v>72</c:v>
                </c:pt>
                <c:pt idx="2">
                  <c:v>78</c:v>
                </c:pt>
              </c:numCache>
            </c:numRef>
          </c:val>
        </c:ser>
        <c:gapWidth val="75"/>
        <c:axId val="125737984"/>
        <c:axId val="125739776"/>
      </c:barChart>
      <c:catAx>
        <c:axId val="125737984"/>
        <c:scaling>
          <c:orientation val="minMax"/>
        </c:scaling>
        <c:axPos val="b"/>
        <c:numFmt formatCode="General" sourceLinked="1"/>
        <c:majorTickMark val="none"/>
        <c:tickLblPos val="nextTo"/>
        <c:crossAx val="125739776"/>
        <c:crosses val="autoZero"/>
        <c:auto val="1"/>
        <c:lblAlgn val="ctr"/>
        <c:lblOffset val="100"/>
      </c:catAx>
      <c:valAx>
        <c:axId val="12573977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2573798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3243062072664154E-2"/>
          <c:y val="0.72719198438185961"/>
          <c:w val="0.81086157808063097"/>
          <c:h val="0.22626146051117357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16</Pages>
  <Words>3127</Words>
  <Characters>17826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17</cp:revision>
  <dcterms:created xsi:type="dcterms:W3CDTF">2013-11-15T06:19:00Z</dcterms:created>
  <dcterms:modified xsi:type="dcterms:W3CDTF">2014-02-18T10:48:00Z</dcterms:modified>
</cp:coreProperties>
</file>