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AD6" w:rsidRPr="00DD0AD6" w:rsidRDefault="00DD0AD6" w:rsidP="00DD0AD6">
      <w:pPr>
        <w:pStyle w:val="a3"/>
        <w:spacing w:line="360" w:lineRule="auto"/>
        <w:ind w:left="357" w:firstLine="0"/>
        <w:jc w:val="center"/>
        <w:rPr>
          <w:b/>
        </w:rPr>
      </w:pPr>
      <w:r w:rsidRPr="00DD0AD6">
        <w:rPr>
          <w:b/>
        </w:rPr>
        <w:t>Содержание:</w:t>
      </w:r>
    </w:p>
    <w:p w:rsidR="00DD0AD6" w:rsidRPr="006A615F" w:rsidRDefault="00DD0AD6" w:rsidP="00DD0AD6">
      <w:pPr>
        <w:pStyle w:val="a3"/>
        <w:spacing w:line="360" w:lineRule="auto"/>
        <w:ind w:left="357" w:firstLine="0"/>
      </w:pPr>
      <w:r>
        <w:t>Введение……………………………………………………………………..…</w:t>
      </w:r>
      <w:r w:rsidRPr="002C074C">
        <w:t>3</w:t>
      </w:r>
    </w:p>
    <w:p w:rsidR="00DD0AD6" w:rsidRDefault="00DD0AD6" w:rsidP="00DD0AD6">
      <w:pPr>
        <w:pStyle w:val="a3"/>
        <w:spacing w:line="360" w:lineRule="auto"/>
        <w:ind w:left="357" w:firstLine="0"/>
        <w:rPr>
          <w:szCs w:val="28"/>
        </w:rPr>
      </w:pPr>
      <w:r>
        <w:rPr>
          <w:szCs w:val="28"/>
        </w:rPr>
        <w:t>Мировой опыт и формирование системы индикативного планирования в России………………………………………………………………………….</w:t>
      </w:r>
      <w:r w:rsidR="002E6FE8">
        <w:rPr>
          <w:szCs w:val="28"/>
        </w:rPr>
        <w:t>4</w:t>
      </w:r>
    </w:p>
    <w:p w:rsidR="00DD0AD6" w:rsidRDefault="00DD0AD6" w:rsidP="00DD0AD6">
      <w:pPr>
        <w:pStyle w:val="a3"/>
        <w:spacing w:line="360" w:lineRule="auto"/>
        <w:ind w:left="357" w:firstLine="0"/>
      </w:pPr>
      <w:r>
        <w:t>Закл</w:t>
      </w:r>
      <w:r w:rsidR="002E6FE8">
        <w:t>ючение…………………………………………………………………..11</w:t>
      </w:r>
    </w:p>
    <w:p w:rsidR="00DD0AD6" w:rsidRDefault="00DD0AD6" w:rsidP="00DD0AD6">
      <w:pPr>
        <w:pStyle w:val="a3"/>
        <w:spacing w:line="360" w:lineRule="auto"/>
        <w:ind w:left="357" w:firstLine="0"/>
      </w:pPr>
      <w:r>
        <w:t>Список использованной литературы</w:t>
      </w:r>
      <w:r w:rsidRPr="00250F88">
        <w:t>………………………</w:t>
      </w:r>
      <w:r>
        <w:t>…</w:t>
      </w:r>
      <w:r w:rsidRPr="00250F88">
        <w:t>…</w:t>
      </w:r>
      <w:r>
        <w:t>…</w:t>
      </w:r>
      <w:r w:rsidRPr="00250F88">
        <w:t>…</w:t>
      </w:r>
      <w:r>
        <w:t>……..</w:t>
      </w:r>
      <w:r w:rsidRPr="00250F88">
        <w:t>12</w:t>
      </w: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Default="00DD0AD6" w:rsidP="00DD0AD6">
      <w:pPr>
        <w:spacing w:line="360" w:lineRule="auto"/>
      </w:pPr>
    </w:p>
    <w:p w:rsidR="00DD0AD6" w:rsidRPr="00DD0AD6" w:rsidRDefault="00DD0AD6" w:rsidP="00DD0A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AD6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D0AD6" w:rsidRDefault="00DD0AD6" w:rsidP="00DD0AD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D6">
        <w:rPr>
          <w:rFonts w:ascii="Times New Roman" w:hAnsi="Times New Roman" w:cs="Times New Roman"/>
          <w:sz w:val="28"/>
          <w:szCs w:val="28"/>
        </w:rPr>
        <w:t>В настоящее время ни одна сфера жизни общества не может обойтись безпрогнозов как средства познания будущего.</w:t>
      </w:r>
      <w:r>
        <w:rPr>
          <w:rFonts w:ascii="Times New Roman" w:hAnsi="Times New Roman" w:cs="Times New Roman"/>
          <w:sz w:val="28"/>
          <w:szCs w:val="28"/>
        </w:rPr>
        <w:t xml:space="preserve"> Особенно важное значение имеют </w:t>
      </w:r>
      <w:r w:rsidRPr="00DD0AD6">
        <w:rPr>
          <w:rFonts w:ascii="Times New Roman" w:hAnsi="Times New Roman" w:cs="Times New Roman"/>
          <w:sz w:val="28"/>
          <w:szCs w:val="28"/>
        </w:rPr>
        <w:t>прогнозы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общества, обоснование основных </w:t>
      </w:r>
      <w:r w:rsidRPr="00DD0AD6">
        <w:rPr>
          <w:rFonts w:ascii="Times New Roman" w:hAnsi="Times New Roman" w:cs="Times New Roman"/>
          <w:sz w:val="28"/>
          <w:szCs w:val="28"/>
        </w:rPr>
        <w:t>направлений экономической политики, пред</w:t>
      </w:r>
      <w:r>
        <w:rPr>
          <w:rFonts w:ascii="Times New Roman" w:hAnsi="Times New Roman" w:cs="Times New Roman"/>
          <w:sz w:val="28"/>
          <w:szCs w:val="28"/>
        </w:rPr>
        <w:t xml:space="preserve">видение последствий принимаемых </w:t>
      </w:r>
      <w:r w:rsidRPr="00DD0AD6">
        <w:rPr>
          <w:rFonts w:ascii="Times New Roman" w:hAnsi="Times New Roman" w:cs="Times New Roman"/>
          <w:sz w:val="28"/>
          <w:szCs w:val="28"/>
        </w:rPr>
        <w:t xml:space="preserve">решений. </w:t>
      </w:r>
    </w:p>
    <w:p w:rsidR="00DD0AD6" w:rsidRDefault="00DD0AD6" w:rsidP="00DD0AD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D6">
        <w:rPr>
          <w:rFonts w:ascii="Times New Roman" w:hAnsi="Times New Roman" w:cs="Times New Roman"/>
          <w:sz w:val="28"/>
          <w:szCs w:val="28"/>
        </w:rPr>
        <w:t>Социально-экономическое прогнозиров</w:t>
      </w:r>
      <w:r>
        <w:rPr>
          <w:rFonts w:ascii="Times New Roman" w:hAnsi="Times New Roman" w:cs="Times New Roman"/>
          <w:sz w:val="28"/>
          <w:szCs w:val="28"/>
        </w:rPr>
        <w:t xml:space="preserve">ание является одним из решающих </w:t>
      </w:r>
      <w:r w:rsidRPr="00DD0AD6">
        <w:rPr>
          <w:rFonts w:ascii="Times New Roman" w:hAnsi="Times New Roman" w:cs="Times New Roman"/>
          <w:sz w:val="28"/>
          <w:szCs w:val="28"/>
        </w:rPr>
        <w:t>научных факторов формирования стратегии и тактики общественн</w:t>
      </w:r>
      <w:r>
        <w:rPr>
          <w:rFonts w:ascii="Times New Roman" w:hAnsi="Times New Roman" w:cs="Times New Roman"/>
          <w:sz w:val="28"/>
          <w:szCs w:val="28"/>
        </w:rPr>
        <w:t xml:space="preserve">ого развития. </w:t>
      </w:r>
      <w:r w:rsidRPr="00DD0AD6">
        <w:rPr>
          <w:rFonts w:ascii="Times New Roman" w:hAnsi="Times New Roman" w:cs="Times New Roman"/>
          <w:sz w:val="28"/>
          <w:szCs w:val="28"/>
        </w:rPr>
        <w:t>Социально-экономическое предвидение осн</w:t>
      </w:r>
      <w:r>
        <w:rPr>
          <w:rFonts w:ascii="Times New Roman" w:hAnsi="Times New Roman" w:cs="Times New Roman"/>
          <w:sz w:val="28"/>
          <w:szCs w:val="28"/>
        </w:rPr>
        <w:t xml:space="preserve">овных направлений общественного </w:t>
      </w:r>
      <w:r w:rsidRPr="00DD0AD6">
        <w:rPr>
          <w:rFonts w:ascii="Times New Roman" w:hAnsi="Times New Roman" w:cs="Times New Roman"/>
          <w:sz w:val="28"/>
          <w:szCs w:val="28"/>
        </w:rPr>
        <w:t>развития предполагает использование специаль</w:t>
      </w:r>
      <w:r>
        <w:rPr>
          <w:rFonts w:ascii="Times New Roman" w:hAnsi="Times New Roman" w:cs="Times New Roman"/>
          <w:sz w:val="28"/>
          <w:szCs w:val="28"/>
        </w:rPr>
        <w:t xml:space="preserve">ных вычислительных и логических </w:t>
      </w:r>
      <w:r w:rsidRPr="00DD0AD6">
        <w:rPr>
          <w:rFonts w:ascii="Times New Roman" w:hAnsi="Times New Roman" w:cs="Times New Roman"/>
          <w:sz w:val="28"/>
          <w:szCs w:val="28"/>
        </w:rPr>
        <w:t>приемов, позволяющих определить парам</w:t>
      </w:r>
      <w:r>
        <w:rPr>
          <w:rFonts w:ascii="Times New Roman" w:hAnsi="Times New Roman" w:cs="Times New Roman"/>
          <w:sz w:val="28"/>
          <w:szCs w:val="28"/>
        </w:rPr>
        <w:t xml:space="preserve">етры функционирования отдельных </w:t>
      </w:r>
      <w:r w:rsidRPr="00DD0AD6">
        <w:rPr>
          <w:rFonts w:ascii="Times New Roman" w:hAnsi="Times New Roman" w:cs="Times New Roman"/>
          <w:sz w:val="28"/>
          <w:szCs w:val="28"/>
        </w:rPr>
        <w:t>элементов производительных сил в их в</w:t>
      </w:r>
      <w:r>
        <w:rPr>
          <w:rFonts w:ascii="Times New Roman" w:hAnsi="Times New Roman" w:cs="Times New Roman"/>
          <w:sz w:val="28"/>
          <w:szCs w:val="28"/>
        </w:rPr>
        <w:t>заимосвязи и взаимозависимости.</w:t>
      </w:r>
    </w:p>
    <w:p w:rsidR="00DD0AD6" w:rsidRDefault="00DD0AD6" w:rsidP="00DD0AD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AD6">
        <w:rPr>
          <w:rFonts w:ascii="Times New Roman" w:hAnsi="Times New Roman" w:cs="Times New Roman"/>
          <w:sz w:val="28"/>
          <w:szCs w:val="28"/>
        </w:rPr>
        <w:t>Систематизированное научно обоснованное прог</w:t>
      </w:r>
      <w:r>
        <w:rPr>
          <w:rFonts w:ascii="Times New Roman" w:hAnsi="Times New Roman" w:cs="Times New Roman"/>
          <w:sz w:val="28"/>
          <w:szCs w:val="28"/>
        </w:rPr>
        <w:t>нозирование развития социально-</w:t>
      </w:r>
      <w:r w:rsidRPr="00DD0AD6">
        <w:rPr>
          <w:rFonts w:ascii="Times New Roman" w:hAnsi="Times New Roman" w:cs="Times New Roman"/>
          <w:sz w:val="28"/>
          <w:szCs w:val="28"/>
        </w:rPr>
        <w:t>экономических процессов на основе специализир</w:t>
      </w:r>
      <w:r>
        <w:rPr>
          <w:rFonts w:ascii="Times New Roman" w:hAnsi="Times New Roman" w:cs="Times New Roman"/>
          <w:sz w:val="28"/>
          <w:szCs w:val="28"/>
        </w:rPr>
        <w:t xml:space="preserve">ованных осуществляется с первой </w:t>
      </w:r>
      <w:r w:rsidRPr="00DD0AD6">
        <w:rPr>
          <w:rFonts w:ascii="Times New Roman" w:hAnsi="Times New Roman" w:cs="Times New Roman"/>
          <w:sz w:val="28"/>
          <w:szCs w:val="28"/>
        </w:rPr>
        <w:t>половины 50-х годов, хотя некоторые методики прогнозирования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 были известны и </w:t>
      </w:r>
      <w:r w:rsidRPr="00DD0AD6">
        <w:rPr>
          <w:rFonts w:ascii="Times New Roman" w:hAnsi="Times New Roman" w:cs="Times New Roman"/>
          <w:sz w:val="28"/>
          <w:szCs w:val="28"/>
        </w:rPr>
        <w:t>ранее. К ним относятся: логический а</w:t>
      </w:r>
      <w:r>
        <w:rPr>
          <w:rFonts w:ascii="Times New Roman" w:hAnsi="Times New Roman" w:cs="Times New Roman"/>
          <w:sz w:val="28"/>
          <w:szCs w:val="28"/>
        </w:rPr>
        <w:t xml:space="preserve">нализ и аналогия, экстраполяция </w:t>
      </w:r>
      <w:r w:rsidRPr="00DD0AD6">
        <w:rPr>
          <w:rFonts w:ascii="Times New Roman" w:hAnsi="Times New Roman" w:cs="Times New Roman"/>
          <w:sz w:val="28"/>
          <w:szCs w:val="28"/>
        </w:rPr>
        <w:t>тенденций, опро</w:t>
      </w:r>
      <w:r>
        <w:rPr>
          <w:rFonts w:ascii="Times New Roman" w:hAnsi="Times New Roman" w:cs="Times New Roman"/>
          <w:sz w:val="28"/>
          <w:szCs w:val="28"/>
        </w:rPr>
        <w:t xml:space="preserve">с мнения специалистов и ученых. </w:t>
      </w:r>
      <w:r w:rsidRPr="00DD0AD6">
        <w:rPr>
          <w:rFonts w:ascii="Times New Roman" w:hAnsi="Times New Roman" w:cs="Times New Roman"/>
          <w:sz w:val="28"/>
          <w:szCs w:val="28"/>
        </w:rPr>
        <w:t xml:space="preserve">Особую роль в современном менеджменте играет </w:t>
      </w:r>
      <w:r>
        <w:rPr>
          <w:rFonts w:ascii="Times New Roman" w:hAnsi="Times New Roman" w:cs="Times New Roman"/>
          <w:sz w:val="28"/>
          <w:szCs w:val="28"/>
        </w:rPr>
        <w:t xml:space="preserve">прогнозирование как предвидение </w:t>
      </w:r>
      <w:r w:rsidRPr="00DD0AD6">
        <w:rPr>
          <w:rFonts w:ascii="Times New Roman" w:hAnsi="Times New Roman" w:cs="Times New Roman"/>
          <w:sz w:val="28"/>
          <w:szCs w:val="28"/>
        </w:rPr>
        <w:t xml:space="preserve">результатов развития хозяйственной структуры и </w:t>
      </w:r>
      <w:r>
        <w:rPr>
          <w:rFonts w:ascii="Times New Roman" w:hAnsi="Times New Roman" w:cs="Times New Roman"/>
          <w:sz w:val="28"/>
          <w:szCs w:val="28"/>
        </w:rPr>
        <w:t xml:space="preserve">перспективное планирование в </w:t>
      </w:r>
      <w:r w:rsidRPr="00DD0AD6">
        <w:rPr>
          <w:rFonts w:ascii="Times New Roman" w:hAnsi="Times New Roman" w:cs="Times New Roman"/>
          <w:sz w:val="28"/>
          <w:szCs w:val="28"/>
        </w:rPr>
        <w:t>качестве системы мер, необходимых для преодо</w:t>
      </w:r>
      <w:r>
        <w:rPr>
          <w:rFonts w:ascii="Times New Roman" w:hAnsi="Times New Roman" w:cs="Times New Roman"/>
          <w:sz w:val="28"/>
          <w:szCs w:val="28"/>
        </w:rPr>
        <w:t xml:space="preserve">ления отклонения прогнозируемых </w:t>
      </w:r>
      <w:r w:rsidRPr="00DD0AD6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 xml:space="preserve">ов от установленных параметров. </w:t>
      </w:r>
      <w:r w:rsidRPr="00DD0AD6">
        <w:rPr>
          <w:rFonts w:ascii="Times New Roman" w:hAnsi="Times New Roman" w:cs="Times New Roman"/>
          <w:sz w:val="28"/>
          <w:szCs w:val="28"/>
        </w:rPr>
        <w:t>Органической частью планирования является сост</w:t>
      </w:r>
      <w:r>
        <w:rPr>
          <w:rFonts w:ascii="Times New Roman" w:hAnsi="Times New Roman" w:cs="Times New Roman"/>
          <w:sz w:val="28"/>
          <w:szCs w:val="28"/>
        </w:rPr>
        <w:t xml:space="preserve">авление прогнозов, показывающих </w:t>
      </w:r>
      <w:r w:rsidRPr="00DD0AD6">
        <w:rPr>
          <w:rFonts w:ascii="Times New Roman" w:hAnsi="Times New Roman" w:cs="Times New Roman"/>
          <w:sz w:val="28"/>
          <w:szCs w:val="28"/>
        </w:rPr>
        <w:t>возможные направления будущего развит</w:t>
      </w:r>
      <w:r>
        <w:rPr>
          <w:rFonts w:ascii="Times New Roman" w:hAnsi="Times New Roman" w:cs="Times New Roman"/>
          <w:sz w:val="28"/>
          <w:szCs w:val="28"/>
        </w:rPr>
        <w:t xml:space="preserve">ия хозяйственной структуры, </w:t>
      </w:r>
      <w:r w:rsidRPr="00DD0AD6">
        <w:rPr>
          <w:rFonts w:ascii="Times New Roman" w:hAnsi="Times New Roman" w:cs="Times New Roman"/>
          <w:sz w:val="28"/>
          <w:szCs w:val="28"/>
        </w:rPr>
        <w:t>рассматриваемой в тесном взаимодействи</w:t>
      </w:r>
      <w:r>
        <w:rPr>
          <w:rFonts w:ascii="Times New Roman" w:hAnsi="Times New Roman" w:cs="Times New Roman"/>
          <w:sz w:val="28"/>
          <w:szCs w:val="28"/>
        </w:rPr>
        <w:t>и с окружающей сре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дой. Вся как </w:t>
      </w:r>
      <w:r w:rsidRPr="00DD0AD6">
        <w:rPr>
          <w:rFonts w:ascii="Times New Roman" w:hAnsi="Times New Roman" w:cs="Times New Roman"/>
          <w:sz w:val="28"/>
          <w:szCs w:val="28"/>
        </w:rPr>
        <w:t>плановая, так и практическая работа в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связана с необходимостью </w:t>
      </w:r>
      <w:r w:rsidRPr="00DD0AD6">
        <w:rPr>
          <w:rFonts w:ascii="Times New Roman" w:hAnsi="Times New Roman" w:cs="Times New Roman"/>
          <w:sz w:val="28"/>
          <w:szCs w:val="28"/>
        </w:rPr>
        <w:t>прогнозирования.</w:t>
      </w:r>
      <w:r w:rsidR="007B357B" w:rsidRPr="007B357B">
        <w:rPr>
          <w:rFonts w:ascii="Times New Roman" w:hAnsi="Times New Roman" w:cs="Times New Roman"/>
          <w:sz w:val="28"/>
          <w:szCs w:val="28"/>
        </w:rPr>
        <w:t>[2]</w:t>
      </w:r>
    </w:p>
    <w:p w:rsidR="002E6FE8" w:rsidRDefault="002E6FE8" w:rsidP="002E6FE8">
      <w:pPr>
        <w:pBdr>
          <w:bottom w:val="single" w:sz="12" w:space="1" w:color="auto"/>
        </w:pBdr>
        <w:spacing w:line="360" w:lineRule="auto"/>
        <w:rPr>
          <w:color w:val="000000"/>
          <w:sz w:val="16"/>
          <w:szCs w:val="16"/>
        </w:rPr>
      </w:pPr>
    </w:p>
    <w:p w:rsidR="00C94251" w:rsidRPr="002E6FE8" w:rsidRDefault="002E6FE8" w:rsidP="002E6FE8">
      <w:pPr>
        <w:spacing w:line="360" w:lineRule="auto"/>
        <w:rPr>
          <w:sz w:val="16"/>
          <w:szCs w:val="16"/>
        </w:rPr>
      </w:pPr>
      <w:r>
        <w:rPr>
          <w:color w:val="000000"/>
          <w:sz w:val="16"/>
          <w:szCs w:val="16"/>
        </w:rPr>
        <w:t>2.</w:t>
      </w:r>
      <w:r w:rsidRPr="002E6FE8">
        <w:rPr>
          <w:color w:val="000000"/>
          <w:sz w:val="16"/>
          <w:szCs w:val="16"/>
        </w:rPr>
        <w:t>Басовский Л.Е., Прогнозирование и планирование в условиях рынка. –М.: ИНФРА-М, 2006г, 259 с.</w:t>
      </w: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251">
        <w:rPr>
          <w:rFonts w:ascii="Times New Roman" w:hAnsi="Times New Roman" w:cs="Times New Roman"/>
          <w:b/>
          <w:sz w:val="28"/>
          <w:szCs w:val="28"/>
        </w:rPr>
        <w:lastRenderedPageBreak/>
        <w:t>Мировой опыт и формирование системы индикативного планирования в России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94251" w:rsidRDefault="00C94251" w:rsidP="00C9425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опыта других стран при формировании системы индикативного планирования в России должно быть творческим, тщательно учитывающим специфику современных политических и социально-экономических условий нашей страны.</w:t>
      </w:r>
    </w:p>
    <w:p w:rsidR="00C94251" w:rsidRDefault="00C94251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822">
        <w:rPr>
          <w:rFonts w:ascii="Times New Roman" w:hAnsi="Times New Roman" w:cs="Times New Roman"/>
          <w:sz w:val="28"/>
          <w:szCs w:val="28"/>
        </w:rPr>
        <w:t xml:space="preserve">Однако до сих пор, к сожалению, индикативное планирование в России сталкивается с большими трудностями и противоречиями. Его использованию противодействуют многие политики, его «дискредитируют» целые научно-теоретические школы, </w:t>
      </w:r>
      <w:r w:rsidR="002D4822" w:rsidRPr="002D4822">
        <w:rPr>
          <w:rFonts w:ascii="Times New Roman" w:hAnsi="Times New Roman" w:cs="Times New Roman"/>
          <w:sz w:val="28"/>
          <w:szCs w:val="28"/>
        </w:rPr>
        <w:t xml:space="preserve">которые весьма своеобразно трактуют принципы либерально-рыночного хозяйствования. Противники индикативного планирования </w:t>
      </w:r>
      <w:r w:rsidR="002D4822">
        <w:rPr>
          <w:rFonts w:ascii="Times New Roman" w:hAnsi="Times New Roman" w:cs="Times New Roman"/>
          <w:sz w:val="28"/>
          <w:szCs w:val="28"/>
        </w:rPr>
        <w:t>игнорируют реальную общемировую практику и создают нередко красочные мифы, не имеющие ничего общего с действительностью. Остановимся на наиболее распространенных из них.</w:t>
      </w:r>
    </w:p>
    <w:p w:rsidR="002D4822" w:rsidRDefault="002D4822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Миф Первый. </w:t>
      </w:r>
    </w:p>
    <w:p w:rsidR="002D4822" w:rsidRDefault="002D4822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Индикативное планирование не отличается от директивного. Утверждение федеральным законом индикативного плана невозможно, так как рыночной экономике не свойственно директивное планирование. </w:t>
      </w:r>
    </w:p>
    <w:p w:rsidR="002D4822" w:rsidRDefault="002D4822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самом деле индикативное планирование, как уже отмечалось выше, служит достижению долгосрочных целей экономического развития страны методами косвенного воздействия на предприятия и не имеет ничего общего с директивным планированием, когда спускаемые сверху планы без</w:t>
      </w:r>
      <w:r w:rsidR="00E17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альтернативы и приравниваются к приказу. Индикативный план, не сковывая инициативы частного бизнеса, помогает определять общий курс управления предприятиями, информируя руководство и плановые подразделения о потенциальном спросе, положении дел в смежных областях, состоянии рынка рабочей силы и т.д. Без такого плана сложно обосновать направления и размеры инвестиций. В процессе составления плана под эгидой специально создаваемых правительством или Президентом управляющих органов </w:t>
      </w:r>
      <w:r>
        <w:rPr>
          <w:rFonts w:ascii="Times New Roman" w:hAnsi="Times New Roman" w:cs="Times New Roman"/>
          <w:sz w:val="28"/>
          <w:szCs w:val="28"/>
        </w:rPr>
        <w:lastRenderedPageBreak/>
        <w:t>вовлекаются многие предприятия, другие независимые субъекты, региональные и местные власти, общественные организации.</w:t>
      </w:r>
    </w:p>
    <w:p w:rsidR="002D4822" w:rsidRDefault="008345C6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Применительно к индикативным планам неуместно говорить, насколько они выполнены или не выполнены, но необходимо оценивать, достигнуты или не достигнуты цели, поставленные в них. Плановые показатели выступают в качестве экономических индикаторов – носителей информации относительно ожидаемой экономической </w:t>
      </w:r>
      <w:r w:rsidR="00FF3F03">
        <w:rPr>
          <w:rFonts w:ascii="Times New Roman" w:hAnsi="Times New Roman" w:cs="Times New Roman"/>
          <w:sz w:val="28"/>
          <w:szCs w:val="28"/>
        </w:rPr>
        <w:t>конъектуры</w:t>
      </w:r>
      <w:r>
        <w:rPr>
          <w:rFonts w:ascii="Times New Roman" w:hAnsi="Times New Roman" w:cs="Times New Roman"/>
          <w:sz w:val="28"/>
          <w:szCs w:val="28"/>
        </w:rPr>
        <w:t xml:space="preserve">. Обычно создаются соответствующие подразделения, в функции которых входят постоянный мониторинг динамики фактических показателей  и их сравнение с индикативными показателями. При отклонении фактических результатов от намечавшихся проводится анализ причин этого и при необходимости принимаются меры для корректировки планов. Ядром анализа, прогнозирования и планирования являются модели «затраты-выпуск» или межотраслевые балансы производства и распределения продукции. </w:t>
      </w:r>
    </w:p>
    <w:p w:rsidR="008345C6" w:rsidRDefault="008345C6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Миф второй.</w:t>
      </w:r>
    </w:p>
    <w:p w:rsidR="008345C6" w:rsidRDefault="008345C6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Индикативное планирование противоречит бюджетному законодательству РФ. На самом деле индикативное планирование ни в какой степени не противоречит бюджетному законодательству, поскольку функции индикативного планирования шире задач обслуживания бюджетного процесса. В промышленно развитых странах индикативный план либо разрабатывается совместно с бюджетом, либо предшествует ему. В российской же практике процесс разработки годового бюджета на основе трехлетнего прогноза развития экономики был до сих пор основным и единственным инструментом регулирования экономических процессов.</w:t>
      </w:r>
    </w:p>
    <w:p w:rsidR="008345C6" w:rsidRDefault="008345C6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программно-целевого подхода (прогнозирование – программирование – бюджетирование) предполагает более четкое целеполагание для проводимой экономической политики, ориентированное на достижение конкретных </w:t>
      </w:r>
      <w:r w:rsidR="000B2C61">
        <w:rPr>
          <w:rFonts w:ascii="Times New Roman" w:hAnsi="Times New Roman" w:cs="Times New Roman"/>
          <w:sz w:val="28"/>
          <w:szCs w:val="28"/>
        </w:rPr>
        <w:t xml:space="preserve">экономических результатов с точки зрения как темпов экономической динамики, так и её структурного наполнения и качества. При таком подходе экономические реформы должны </w:t>
      </w:r>
      <w:r w:rsidR="000B2C61">
        <w:rPr>
          <w:rFonts w:ascii="Times New Roman" w:hAnsi="Times New Roman" w:cs="Times New Roman"/>
          <w:sz w:val="28"/>
          <w:szCs w:val="28"/>
        </w:rPr>
        <w:lastRenderedPageBreak/>
        <w:t>рассматриваться не как самоцель, а как инструмент достижения вполне конкретных результатов экономического прогресса. Важно ориентироваться на принцип движения от общего к частному – от общенациональных приоритетов экономического развития и стратегических целей деятельности правительства к целям и задачам субъектов бюджетного планирования и реализуемым ими целевым федеральным и ведомственным бюджетным программам на среднесрочную перспективу.</w:t>
      </w:r>
    </w:p>
    <w:p w:rsidR="000B2C61" w:rsidRDefault="000B2C61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Миф третий.</w:t>
      </w:r>
    </w:p>
    <w:p w:rsidR="000B2C61" w:rsidRDefault="000B2C61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Экономические индикаторы как основные составляющие индикативных планов являются только вспомогательные инструменты для разработки прогноза экономического развития.</w:t>
      </w:r>
    </w:p>
    <w:p w:rsidR="0098635E" w:rsidRDefault="000B2C61" w:rsidP="000B2C6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Напротив, прогноз, как более ранняя фаза, разрабатывается для обоснования обобщающих показателей индикативных планов. Индикатор является центральным понятием системы индикативного планирования. Индикаторы определяются как параметры границ, в пределах которых система, включающая организационные механизмы, технологические связи, материальные и финансовые потоки, может устойчиво функционировать и развиваться в направлении реализации общенациональной цели (например, применительно к настоящему периоду – задачи удвоения ВВП за десятилетие). Индикатор в рамках индикативного плана векторный, направленный характер. Индикаторы могут иметь предельные пороговые (минимальные и максимальные) уровни. При этом особое место занимает определение и использование пороговых значений, призванных сигнализировать</w:t>
      </w:r>
      <w:r w:rsidR="0098635E">
        <w:rPr>
          <w:rFonts w:ascii="Times New Roman" w:hAnsi="Times New Roman" w:cs="Times New Roman"/>
          <w:sz w:val="28"/>
          <w:szCs w:val="28"/>
        </w:rPr>
        <w:t xml:space="preserve"> о приближении критического состояния объекта управления и необходимости изменения стратегии его развития. </w:t>
      </w:r>
    </w:p>
    <w:p w:rsidR="0098635E" w:rsidRDefault="0098635E" w:rsidP="0098635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начата разработка проекта федерального закона о государственном прогнозировании, стратегическом планировании и программировании социально-экономического развития в РФ. Необходимо предусмотреть в нем решение всех вопросов. Мешающих широкому развитию в стране стратегического и индикативного планирования. Изложим </w:t>
      </w:r>
      <w:r>
        <w:rPr>
          <w:rFonts w:ascii="Times New Roman" w:hAnsi="Times New Roman" w:cs="Times New Roman"/>
          <w:sz w:val="28"/>
          <w:szCs w:val="28"/>
        </w:rPr>
        <w:lastRenderedPageBreak/>
        <w:t>кратко ключевые требования к индикативному планированию, которые, на взгляд авторов, целесообразно отобразить в новом законе.</w:t>
      </w:r>
    </w:p>
    <w:p w:rsidR="0098635E" w:rsidRDefault="0098635E" w:rsidP="0098635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Индикативные планы разрабатываются на краткосрочный (год) и среднесрочный (3-4 года) период и имеют целью обеспечить реализацию стратегических планов, национальных программ и проектов и их сбалансированную увязку с темпами и пропорциями социально – эконмического развития в целом по стране. Они охватывают как программную (приоритеты стратегического плана, национальные проекты и программы), так и непрограммную часть, развивающуюся на основе корпоративно – стратегических и текущих планов программ проектов. </w:t>
      </w:r>
    </w:p>
    <w:p w:rsidR="00FF3F03" w:rsidRDefault="0098635E" w:rsidP="0098635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Индикативный план реализует задачи стратегического плана, национальных программ и проектов на текущий и среднесрочный период, детализирует их с учетом </w:t>
      </w:r>
      <w:r w:rsidR="00FF3F03">
        <w:rPr>
          <w:rFonts w:ascii="Times New Roman" w:hAnsi="Times New Roman" w:cs="Times New Roman"/>
          <w:sz w:val="28"/>
          <w:szCs w:val="28"/>
        </w:rPr>
        <w:t xml:space="preserve">конъектуры внутреннего и внешнего рынков, социально – политических условий данного периода и обеспечивает сбалансированность с тенденциями развития экономики и общества в целом. </w:t>
      </w:r>
    </w:p>
    <w:p w:rsidR="00FF3F03" w:rsidRDefault="00FF3F03" w:rsidP="00FF3F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Индикативные планы должны разрабатываться уполномоченным органом исполнительной власти (Минэкономического развития) ежегодно на предстоящий год и три (четыре)  года, рассматриваться Правительством РФ и представляться в Государственную думу одновременно с проектом федерального бюджета на соответствующий период (финансовым планом). После обсуждения и принятия Государственной думой и одобрения Советом Федерации оба документа представляются на подпись Президента РФ и приобретают, таким образом, статус федерального закона. В связи с введением индикативного планирования отпадает необходимость в ныне предусмотренном Бюджетным кодексом представлении правительством в Государственную думу плана развития государственного и муниципального секторов экономики (он  будет включен в состав индикативного плана) и меняется роль прогноза на годичный и трехлетний период: он выполняет роль обоснования индикаторов и балансов индикативного плана на соответствующий период. Вместе с тем повышается ответственность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за обоснованность и выполнение </w:t>
      </w:r>
      <w:r w:rsidR="00F566C4">
        <w:rPr>
          <w:rFonts w:ascii="Times New Roman" w:hAnsi="Times New Roman" w:cs="Times New Roman"/>
          <w:sz w:val="28"/>
          <w:szCs w:val="28"/>
        </w:rPr>
        <w:t xml:space="preserve">индикаторов </w:t>
      </w:r>
      <w:r>
        <w:rPr>
          <w:rFonts w:ascii="Times New Roman" w:hAnsi="Times New Roman" w:cs="Times New Roman"/>
          <w:sz w:val="28"/>
          <w:szCs w:val="28"/>
        </w:rPr>
        <w:t xml:space="preserve">плана и </w:t>
      </w:r>
      <w:r w:rsidR="00F566C4">
        <w:rPr>
          <w:rFonts w:ascii="Times New Roman" w:hAnsi="Times New Roman" w:cs="Times New Roman"/>
          <w:sz w:val="28"/>
          <w:szCs w:val="28"/>
        </w:rPr>
        <w:t xml:space="preserve">осуществляетсяувязка финансового плана с планом социально – экономического развития. </w:t>
      </w:r>
    </w:p>
    <w:p w:rsidR="00F566C4" w:rsidRDefault="00F566C4" w:rsidP="00FF3F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структура индикативного плана может включать следующие разделы: </w:t>
      </w:r>
    </w:p>
    <w:p w:rsidR="00F566C4" w:rsidRDefault="00F566C4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исходного состояния, выполнение действующих индикативных планов, проблемы, которые необходимо решить в предстоящий период.</w:t>
      </w:r>
    </w:p>
    <w:p w:rsidR="00F566C4" w:rsidRDefault="00F566C4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Свободные макропоказатели (индикаторы): объем и темпы прироста ВВП, инвестиции в основной капитал, рост реальных доходов населения и розничного товарооборота, уровень инфляции, объем экспорта и импорта.</w:t>
      </w:r>
    </w:p>
    <w:p w:rsidR="00F566C4" w:rsidRDefault="00F566C4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развитие -  прогноз уровня рождаемости, смертности, естественного прироста, миграции; трудовые ресурсы, их распределение по воспроизводимым секторам и отраслям; уровень квалификации работников; развитие здравоохранения, образования, культуры;</w:t>
      </w:r>
    </w:p>
    <w:p w:rsidR="00F566C4" w:rsidRDefault="00F566C4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Наука и инновационно – технологическое развитие: объем затрат на науку и инновации, развитие высокотехнологичных отраслей, реализация национальных и инновационных программ и проектов, повышение конкурентоспособности продукции.  </w:t>
      </w:r>
    </w:p>
    <w:p w:rsidR="00F566C4" w:rsidRDefault="00F566C4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и реализация товаров и услуг – развитие основных отраслей производства, народнохозяйственных комплексов и воспроизводственных секторов, сдвиги в структуре производства; задания по развитию государственного и муниципального секторов экономики;</w:t>
      </w:r>
    </w:p>
    <w:p w:rsidR="00E3326D" w:rsidRDefault="00E3326D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Природно – экологическая динамика – повышение обеспеченности производства и населения природными ресурсами; задачи по приросту разведанных запасов основных видов полезных ископаемых, энергообеспечению, лесовосстановлению, использованию земель; меры по улучшению охраны окружающей среды, уменьшению вредных выбросов, экомониторингу;</w:t>
      </w:r>
    </w:p>
    <w:p w:rsidR="00F566C4" w:rsidRDefault="00E3326D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Институционные  преобразования, развитие рыночной инфраструктуры, финансов и цен, повышение эффективности многоукладной экономики,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поддержка малого и среднего бизнеса; развитие финансово – кредитной сферы; темпы роста цен и инфляции и меры по их сдерживанию; повышение эффективности банковской системы;</w:t>
      </w:r>
    </w:p>
    <w:p w:rsidR="00E3326D" w:rsidRDefault="00E85635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Территориальное развитие – индикаторы по развитию макрорегионов (федеральных округов), сближение уровней регионального развития, преодоление депрессивности отдельных регионов;</w:t>
      </w:r>
    </w:p>
    <w:p w:rsidR="00E85635" w:rsidRDefault="00E85635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Оборона, правопорядок и управление – основные показатели оборонно – промышленного комплекса, укрепления обороноспособности, развития и повышения оснащенности Вооруженных сил, укрепления органов правопорядка, совершенствования судебной системы, системы государственного и муниципального управления;</w:t>
      </w:r>
    </w:p>
    <w:p w:rsidR="00E85635" w:rsidRDefault="00E85635" w:rsidP="007B357B">
      <w:pPr>
        <w:pStyle w:val="a4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Внешние связи – объем и динамики структуры экспорта и импорта товаров и услуг, развитие интегральных связей с заинтересованными странами СНГ, иностранные инвестиции, внешняя задолженность государства и экономики; развитие международного туризма, культурных и образовательных связей.</w:t>
      </w:r>
    </w:p>
    <w:p w:rsidR="00E85635" w:rsidRDefault="00E85635" w:rsidP="00E8563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635">
        <w:rPr>
          <w:rFonts w:ascii="Times New Roman" w:hAnsi="Times New Roman" w:cs="Times New Roman"/>
          <w:sz w:val="28"/>
          <w:szCs w:val="28"/>
        </w:rPr>
        <w:t>Индикативный план должен быть сбалансирован, опираться на отчетные и прогнозные балансы по основным видам ресурсов:</w:t>
      </w:r>
    </w:p>
    <w:p w:rsidR="00E85635" w:rsidRPr="00615818" w:rsidRDefault="00E85635" w:rsidP="007B357B">
      <w:pPr>
        <w:pStyle w:val="a4"/>
        <w:numPr>
          <w:ilvl w:val="0"/>
          <w:numId w:val="5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трудовых ресурсов – их численность, возвратного состава,</w:t>
      </w:r>
      <w:r w:rsidRPr="00615818">
        <w:rPr>
          <w:rFonts w:ascii="Times New Roman" w:hAnsi="Times New Roman" w:cs="Times New Roman"/>
          <w:sz w:val="28"/>
          <w:szCs w:val="28"/>
        </w:rPr>
        <w:t>уровня квалификации</w:t>
      </w:r>
      <w:r w:rsidR="009A4088" w:rsidRPr="00615818">
        <w:rPr>
          <w:rFonts w:ascii="Times New Roman" w:hAnsi="Times New Roman" w:cs="Times New Roman"/>
          <w:sz w:val="28"/>
          <w:szCs w:val="28"/>
        </w:rPr>
        <w:t>, распределения по категориям, видам деятельности, отраслям, народнохозяйственным комплексам, воспроизводственным секторам, макрорегионам;</w:t>
      </w:r>
    </w:p>
    <w:p w:rsidR="009A4088" w:rsidRDefault="009A4088" w:rsidP="007B357B">
      <w:pPr>
        <w:pStyle w:val="a4"/>
        <w:numPr>
          <w:ilvl w:val="0"/>
          <w:numId w:val="5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Топливно – энергетический баланс – обеспеченность развитиядоступными запасами минерального топлива, теплом и электроэнергией;</w:t>
      </w:r>
    </w:p>
    <w:p w:rsidR="009A4088" w:rsidRDefault="009A4088" w:rsidP="007B357B">
      <w:pPr>
        <w:pStyle w:val="a4"/>
        <w:numPr>
          <w:ilvl w:val="0"/>
          <w:numId w:val="5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Балансы других видов природных и материальных ресурсов – черных и цветных металлов, проката и лесных ресурсов, пресной воды и земельных ресурсов.</w:t>
      </w:r>
    </w:p>
    <w:p w:rsidR="009A4088" w:rsidRDefault="009A4088" w:rsidP="007B357B">
      <w:pPr>
        <w:pStyle w:val="a4"/>
        <w:numPr>
          <w:ilvl w:val="0"/>
          <w:numId w:val="5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</w:t>
      </w:r>
      <w:r w:rsidR="00615818">
        <w:rPr>
          <w:rFonts w:ascii="Times New Roman" w:hAnsi="Times New Roman" w:cs="Times New Roman"/>
          <w:sz w:val="28"/>
          <w:szCs w:val="28"/>
        </w:rPr>
        <w:t>е балансы – бюджет, платежный баланс, баланс денежных доходов и расходов предприятия и населения.</w:t>
      </w:r>
    </w:p>
    <w:p w:rsidR="00615818" w:rsidRDefault="00615818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Внедрение системы индикативного планирования социально – экономического развития страны предполагает изменение </w:t>
      </w:r>
      <w:r w:rsidR="00245331">
        <w:rPr>
          <w:rFonts w:ascii="Times New Roman" w:hAnsi="Times New Roman" w:cs="Times New Roman"/>
          <w:sz w:val="28"/>
          <w:szCs w:val="28"/>
        </w:rPr>
        <w:t>технологии формирования государственного бюджета, который должен в полной мере соответствовать стратегии развития национальной экономики. В основу разработки бюджета должны быть положены законодательно установленные нормативы, определяющие уровень бюджетных расходов по определенным направлениям социальной и экономической политики, а также программно – целевой подход к планированию и осуществлению расходов. В этом случае в качестве приоритетных должны рассматриваться расходы на проведение научных исследований и стимулирование НТП на образование, а также на обеспечение национальной безопасности, что составляет основу устойчивости будущего развития экономики.</w:t>
      </w:r>
    </w:p>
    <w:p w:rsidR="00245331" w:rsidRDefault="00245331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отличии от плановых директив, практиковавшихся в условиях административно – командной экономики, индикативные планы в условиях смешанной экономики не могут содержать обязательных для выполнения заданий хозяйствующим субъектам и должны разрабатываться с участием и учетом предложений деловых кругов и специалистов. Другими словами, индикативный план должен быть </w:t>
      </w:r>
      <w:r w:rsidR="000339E0">
        <w:rPr>
          <w:rFonts w:ascii="Times New Roman" w:hAnsi="Times New Roman" w:cs="Times New Roman"/>
          <w:sz w:val="28"/>
          <w:szCs w:val="28"/>
        </w:rPr>
        <w:t xml:space="preserve">результатом широкого общественного обсуждения путем развития национальной экономики и общества в целом. Целью его разработки является формирование общенационального консенсуса в отношении определения приоритетов социально – экономического развития страны. </w:t>
      </w:r>
      <w:r w:rsidR="00AF1987">
        <w:rPr>
          <w:rFonts w:ascii="Times New Roman" w:hAnsi="Times New Roman" w:cs="Times New Roman"/>
          <w:sz w:val="28"/>
          <w:szCs w:val="28"/>
        </w:rPr>
        <w:t xml:space="preserve">Индикативный план субъектов и выполняет для них функцию ориентира, указывающего перспективные направления социально – экономического развития. </w:t>
      </w:r>
    </w:p>
    <w:p w:rsidR="00AF1987" w:rsidRDefault="00AF1987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Особую роль индикативный план играет по отношению к предприятиям государственного сектора экономики. Причем в зависимости от формы собственности к ним могут применяться различные технологии планирования.</w:t>
      </w:r>
    </w:p>
    <w:p w:rsidR="00AF1987" w:rsidRDefault="00AF1987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отношению к казенным предприятиям, по обязательствам которых государство несет полную ответственность, необходимо применять жесткие 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процедуры директивного управления</w:t>
      </w:r>
      <w:r w:rsidR="00BE6D8B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государством целями их развития.</w:t>
      </w:r>
    </w:p>
    <w:p w:rsidR="00BE6D8B" w:rsidRDefault="00BE6D8B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предприятий, за деятельность которых государство несет ограниченную ответственность, целесообразно применение менее жестких процедур планирования, то есть главным образом принятие стратегических решений в управлении инвестиционной политикой и активами.</w:t>
      </w:r>
    </w:p>
    <w:p w:rsidR="00BE6D8B" w:rsidRDefault="00BE6D8B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 элементом индикативного планирования следует считать развитие договорного взаимодействия федеральных органов управления с органами управления субъектов Федерации, финансово – промышленными группами и крупнейшими предприятиями страны. Это позволит сформировать согласованную с регионами и промышленниками систему индикаторов, включающую индикаторы важнейших межотраслевых и межрегиональных поставок продукции и услуг.</w:t>
      </w:r>
    </w:p>
    <w:p w:rsidR="00BE6D8B" w:rsidRDefault="00BE6D8B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изучать и распространять опыт  тех регионов в России, где уже найдены хорошие решения по целенаправленному осуществлению индикативного планирования. Например, действенная система индикативного управления</w:t>
      </w:r>
      <w:r w:rsidR="00FC7D86">
        <w:rPr>
          <w:rFonts w:ascii="Times New Roman" w:hAnsi="Times New Roman" w:cs="Times New Roman"/>
          <w:sz w:val="28"/>
          <w:szCs w:val="28"/>
        </w:rPr>
        <w:t xml:space="preserve"> экономикой создана в Республике Татарстан. Для этого разработан и сформирован необходимый модельный аппарат, создана система информационных потоков. Ежегодно правительством Татарстана утверждается система индикаторов, ориентирующая хозяйствующие субъекты на решение актуальных для республики социально – экономических проблем. </w:t>
      </w:r>
    </w:p>
    <w:p w:rsidR="00FC7D86" w:rsidRPr="007B357B" w:rsidRDefault="00FC7D86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действующей международной практикой (например, по аналогии с Комиссариатом по планированию при правительстве Федерации) целесообразно создать специальный орган по стратегическому планированию при Правительстве РФ, возложив на него координацию деятельности по разработке долгосрочных прогнозов, стратегических и индикативных планов и мониторинг их реализации, а так же совет по прогнозированию и стратегическому планированию инновационно – технологического, социально – экономического и территориального развития </w:t>
      </w:r>
      <w:r>
        <w:rPr>
          <w:rFonts w:ascii="Times New Roman" w:hAnsi="Times New Roman" w:cs="Times New Roman"/>
          <w:sz w:val="28"/>
          <w:szCs w:val="28"/>
        </w:rPr>
        <w:lastRenderedPageBreak/>
        <w:t>из представителей бизнеса, науки, федеральных, региональных и местных властей.</w:t>
      </w:r>
      <w:r w:rsidR="007B357B" w:rsidRPr="007B357B">
        <w:rPr>
          <w:rFonts w:ascii="Times New Roman" w:hAnsi="Times New Roman" w:cs="Times New Roman"/>
          <w:sz w:val="28"/>
          <w:szCs w:val="28"/>
        </w:rPr>
        <w:t>[1]</w:t>
      </w:r>
    </w:p>
    <w:p w:rsidR="00FC7D86" w:rsidRDefault="00FC7D86" w:rsidP="0024533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31" w:rsidRDefault="00245331" w:rsidP="00615818">
      <w:pPr>
        <w:pStyle w:val="a4"/>
        <w:spacing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615818" w:rsidRDefault="00615818" w:rsidP="00615818">
      <w:pPr>
        <w:pStyle w:val="a4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9A4088" w:rsidRDefault="009A4088" w:rsidP="00E85635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635" w:rsidRPr="00E85635" w:rsidRDefault="00E85635" w:rsidP="00E85635">
      <w:pPr>
        <w:pStyle w:val="a4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E85635" w:rsidRDefault="00E85635" w:rsidP="00E85635">
      <w:pPr>
        <w:pStyle w:val="a4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F3F03" w:rsidRDefault="00FF3F03" w:rsidP="00FF3F0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635E" w:rsidRDefault="0098635E" w:rsidP="0098635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0B2C6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822" w:rsidRPr="002D4822" w:rsidRDefault="002D4822" w:rsidP="002D482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251" w:rsidRPr="00C94251" w:rsidRDefault="00C94251" w:rsidP="00C942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FD28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251" w:rsidRDefault="00C94251" w:rsidP="002E6FE8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E6FE8" w:rsidRPr="002E6FE8" w:rsidRDefault="002E6FE8" w:rsidP="002E6FE8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</w:t>
      </w:r>
      <w:r w:rsidRPr="002E6FE8">
        <w:rPr>
          <w:rFonts w:ascii="Times New Roman" w:hAnsi="Times New Roman" w:cs="Times New Roman"/>
          <w:sz w:val="18"/>
          <w:szCs w:val="18"/>
        </w:rPr>
        <w:t>Прогнозирование, стратегическое планирование национальное программирование: Учебник / Б.Н. Кузык, В.И. Кушлин, Ю.В. Яковец – 2-е изд., перераб. и доп. – М.: ЗАО «Издательство Экономика», 2008. – 572 с. – (Высшее образова</w:t>
      </w:r>
      <w:r>
        <w:rPr>
          <w:rFonts w:ascii="Times New Roman" w:hAnsi="Times New Roman" w:cs="Times New Roman"/>
          <w:sz w:val="18"/>
          <w:szCs w:val="18"/>
        </w:rPr>
        <w:t>ние</w:t>
      </w:r>
    </w:p>
    <w:p w:rsidR="00E178B7" w:rsidRDefault="00E178B7" w:rsidP="007B357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AD6" w:rsidRPr="00FD2843" w:rsidRDefault="00DD0AD6" w:rsidP="007B357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84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FD2843" w:rsidRDefault="00DD0AD6" w:rsidP="00FD2843">
      <w:pPr>
        <w:pStyle w:val="a4"/>
        <w:numPr>
          <w:ilvl w:val="0"/>
          <w:numId w:val="2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DD0AD6">
        <w:rPr>
          <w:rFonts w:ascii="Times New Roman" w:hAnsi="Times New Roman" w:cs="Times New Roman"/>
          <w:sz w:val="28"/>
          <w:szCs w:val="28"/>
        </w:rPr>
        <w:t>Под прогнозом понимается система научно обоснованных представлений о</w:t>
      </w:r>
      <w:r w:rsidRPr="00FD2843">
        <w:rPr>
          <w:rFonts w:ascii="Times New Roman" w:hAnsi="Times New Roman" w:cs="Times New Roman"/>
          <w:sz w:val="28"/>
          <w:szCs w:val="28"/>
        </w:rPr>
        <w:t>возможных состояниях объекта в будущем, об аль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тернативных путях его развития. </w:t>
      </w:r>
      <w:r w:rsidRPr="00FD2843">
        <w:rPr>
          <w:rFonts w:ascii="Times New Roman" w:hAnsi="Times New Roman" w:cs="Times New Roman"/>
          <w:sz w:val="28"/>
          <w:szCs w:val="28"/>
        </w:rPr>
        <w:t>Прогноз выражает предвидение на уровне конкр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етно-прикладной теории, в то же </w:t>
      </w:r>
      <w:r w:rsidRPr="00FD2843">
        <w:rPr>
          <w:rFonts w:ascii="Times New Roman" w:hAnsi="Times New Roman" w:cs="Times New Roman"/>
          <w:sz w:val="28"/>
          <w:szCs w:val="28"/>
        </w:rPr>
        <w:t>время прогноз неодн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означен и носит вероятностный многовариантный характер. </w:t>
      </w:r>
      <w:r w:rsidRPr="00FD2843">
        <w:rPr>
          <w:rFonts w:ascii="Times New Roman" w:hAnsi="Times New Roman" w:cs="Times New Roman"/>
          <w:sz w:val="28"/>
          <w:szCs w:val="28"/>
        </w:rPr>
        <w:t>Процесс разработки прогноза называется прогнозированием.</w:t>
      </w:r>
    </w:p>
    <w:p w:rsidR="00FD2843" w:rsidRDefault="00DD0AD6" w:rsidP="00FD2843">
      <w:pPr>
        <w:pStyle w:val="a4"/>
        <w:numPr>
          <w:ilvl w:val="0"/>
          <w:numId w:val="2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D2843">
        <w:rPr>
          <w:rFonts w:ascii="Times New Roman" w:hAnsi="Times New Roman" w:cs="Times New Roman"/>
          <w:sz w:val="28"/>
          <w:szCs w:val="28"/>
        </w:rPr>
        <w:t>Прогнозирование по своему составу шире пла</w:t>
      </w:r>
      <w:r w:rsidR="00FD2843" w:rsidRPr="00FD2843">
        <w:rPr>
          <w:rFonts w:ascii="Times New Roman" w:hAnsi="Times New Roman" w:cs="Times New Roman"/>
          <w:sz w:val="28"/>
          <w:szCs w:val="28"/>
        </w:rPr>
        <w:t>ниро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вания, так как включает не </w:t>
      </w:r>
      <w:r w:rsidRPr="00FD2843">
        <w:rPr>
          <w:rFonts w:ascii="Times New Roman" w:hAnsi="Times New Roman" w:cs="Times New Roman"/>
          <w:sz w:val="28"/>
          <w:szCs w:val="28"/>
        </w:rPr>
        <w:t>только показатели деятельности хозяйству</w:t>
      </w:r>
      <w:r w:rsidR="00FD2843" w:rsidRPr="00FD2843">
        <w:rPr>
          <w:rFonts w:ascii="Times New Roman" w:hAnsi="Times New Roman" w:cs="Times New Roman"/>
          <w:sz w:val="28"/>
          <w:szCs w:val="28"/>
        </w:rPr>
        <w:t>ю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щего субъекта, но и в большей </w:t>
      </w:r>
      <w:r w:rsidRPr="00FD2843">
        <w:rPr>
          <w:rFonts w:ascii="Times New Roman" w:hAnsi="Times New Roman" w:cs="Times New Roman"/>
          <w:sz w:val="28"/>
          <w:szCs w:val="28"/>
        </w:rPr>
        <w:t>степени учитывает изменяю</w:t>
      </w:r>
      <w:r w:rsidR="00FD2843" w:rsidRPr="00FD2843">
        <w:rPr>
          <w:rFonts w:ascii="Times New Roman" w:hAnsi="Times New Roman" w:cs="Times New Roman"/>
          <w:sz w:val="28"/>
          <w:szCs w:val="28"/>
        </w:rPr>
        <w:t>щиеся парамет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ры внешней среды. </w:t>
      </w:r>
      <w:r w:rsidRPr="00FD2843">
        <w:rPr>
          <w:rFonts w:ascii="Times New Roman" w:hAnsi="Times New Roman" w:cs="Times New Roman"/>
          <w:sz w:val="28"/>
          <w:szCs w:val="28"/>
        </w:rPr>
        <w:t>В тоже время прогноз и план взаимно дополня</w:t>
      </w:r>
      <w:r w:rsidR="00FD2843" w:rsidRPr="00FD2843">
        <w:rPr>
          <w:rFonts w:ascii="Times New Roman" w:hAnsi="Times New Roman" w:cs="Times New Roman"/>
          <w:sz w:val="28"/>
          <w:szCs w:val="28"/>
        </w:rPr>
        <w:t>ют друг друга. Формы со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четания </w:t>
      </w:r>
      <w:r w:rsidRPr="00FD2843">
        <w:rPr>
          <w:rFonts w:ascii="Times New Roman" w:hAnsi="Times New Roman" w:cs="Times New Roman"/>
          <w:sz w:val="28"/>
          <w:szCs w:val="28"/>
        </w:rPr>
        <w:t>прогноза и плана могут быть самыми различными</w:t>
      </w:r>
      <w:r w:rsidR="00FD2843" w:rsidRPr="00FD2843">
        <w:rPr>
          <w:rFonts w:ascii="Times New Roman" w:hAnsi="Times New Roman" w:cs="Times New Roman"/>
          <w:sz w:val="28"/>
          <w:szCs w:val="28"/>
        </w:rPr>
        <w:t>: про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гноз может предшествовать </w:t>
      </w:r>
      <w:r w:rsidRPr="00FD2843">
        <w:rPr>
          <w:rFonts w:ascii="Times New Roman" w:hAnsi="Times New Roman" w:cs="Times New Roman"/>
          <w:sz w:val="28"/>
          <w:szCs w:val="28"/>
        </w:rPr>
        <w:t>разработке плана (в большинстве случаев), сл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едовать за ним (прогнозирование </w:t>
      </w:r>
      <w:r w:rsidRPr="00FD2843">
        <w:rPr>
          <w:rFonts w:ascii="Times New Roman" w:hAnsi="Times New Roman" w:cs="Times New Roman"/>
          <w:sz w:val="28"/>
          <w:szCs w:val="28"/>
        </w:rPr>
        <w:t>последствий при</w:t>
      </w:r>
      <w:r w:rsidRPr="00FD2843">
        <w:rPr>
          <w:rFonts w:ascii="Times New Roman" w:hAnsi="Times New Roman" w:cs="Times New Roman"/>
          <w:sz w:val="28"/>
          <w:szCs w:val="28"/>
        </w:rPr>
        <w:softHyphen/>
        <w:t>нятого в плане решения), провод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иться в процессе разработки </w:t>
      </w:r>
      <w:r w:rsidRPr="00FD2843">
        <w:rPr>
          <w:rFonts w:ascii="Times New Roman" w:hAnsi="Times New Roman" w:cs="Times New Roman"/>
          <w:sz w:val="28"/>
          <w:szCs w:val="28"/>
        </w:rPr>
        <w:t>плана, самостоятельно играть роль план</w:t>
      </w:r>
      <w:r w:rsidR="00FD2843" w:rsidRPr="00FD2843">
        <w:rPr>
          <w:rFonts w:ascii="Times New Roman" w:hAnsi="Times New Roman" w:cs="Times New Roman"/>
          <w:sz w:val="28"/>
          <w:szCs w:val="28"/>
        </w:rPr>
        <w:t>а, особенно в крупно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масштабных </w:t>
      </w:r>
      <w:r w:rsidRPr="00FD2843">
        <w:rPr>
          <w:rFonts w:ascii="Times New Roman" w:hAnsi="Times New Roman" w:cs="Times New Roman"/>
          <w:sz w:val="28"/>
          <w:szCs w:val="28"/>
        </w:rPr>
        <w:t>экономических системах (регион, государств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о), когда невозможно обеспечить </w:t>
      </w:r>
      <w:r w:rsidRPr="00FD2843">
        <w:rPr>
          <w:rFonts w:ascii="Times New Roman" w:hAnsi="Times New Roman" w:cs="Times New Roman"/>
          <w:sz w:val="28"/>
          <w:szCs w:val="28"/>
        </w:rPr>
        <w:t>точное определение показате</w:t>
      </w:r>
      <w:r w:rsidRPr="00FD2843">
        <w:rPr>
          <w:rFonts w:ascii="Times New Roman" w:hAnsi="Times New Roman" w:cs="Times New Roman"/>
          <w:sz w:val="28"/>
          <w:szCs w:val="28"/>
        </w:rPr>
        <w:softHyphen/>
        <w:t>лей, т.е.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FD2843">
        <w:rPr>
          <w:rFonts w:ascii="Times New Roman" w:hAnsi="Times New Roman" w:cs="Times New Roman"/>
          <w:sz w:val="28"/>
          <w:szCs w:val="28"/>
        </w:rPr>
        <w:t xml:space="preserve">приобретает вероятностный 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характер </w:t>
      </w:r>
      <w:r w:rsidRPr="00FD2843">
        <w:rPr>
          <w:rFonts w:ascii="Times New Roman" w:hAnsi="Times New Roman" w:cs="Times New Roman"/>
          <w:sz w:val="28"/>
          <w:szCs w:val="28"/>
        </w:rPr>
        <w:t>и практ</w:t>
      </w:r>
      <w:r w:rsidR="00FD2843" w:rsidRPr="00FD2843">
        <w:rPr>
          <w:rFonts w:ascii="Times New Roman" w:hAnsi="Times New Roman" w:cs="Times New Roman"/>
          <w:sz w:val="28"/>
          <w:szCs w:val="28"/>
        </w:rPr>
        <w:t>и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>чески превращается в прогноз.</w:t>
      </w:r>
      <w:r w:rsidRPr="00FD2843">
        <w:rPr>
          <w:rFonts w:ascii="Times New Roman" w:hAnsi="Times New Roman" w:cs="Times New Roman"/>
          <w:sz w:val="28"/>
          <w:szCs w:val="28"/>
        </w:rPr>
        <w:t>Планирование нацелено на обоснование прин</w:t>
      </w:r>
      <w:r w:rsidR="00FD2843" w:rsidRPr="00FD2843">
        <w:rPr>
          <w:rFonts w:ascii="Times New Roman" w:hAnsi="Times New Roman" w:cs="Times New Roman"/>
          <w:sz w:val="28"/>
          <w:szCs w:val="28"/>
        </w:rPr>
        <w:t>ятия и пра</w:t>
      </w:r>
      <w:r w:rsidR="00FD2843" w:rsidRPr="00FD2843">
        <w:rPr>
          <w:rFonts w:ascii="Times New Roman" w:hAnsi="Times New Roman" w:cs="Times New Roman"/>
          <w:sz w:val="28"/>
          <w:szCs w:val="28"/>
        </w:rPr>
        <w:softHyphen/>
        <w:t xml:space="preserve">ктической реализации </w:t>
      </w:r>
      <w:r w:rsidRPr="00FD2843">
        <w:rPr>
          <w:rFonts w:ascii="Times New Roman" w:hAnsi="Times New Roman" w:cs="Times New Roman"/>
          <w:sz w:val="28"/>
          <w:szCs w:val="28"/>
        </w:rPr>
        <w:t>управляющих решений. Цель прогнози</w:t>
      </w:r>
      <w:r w:rsidRPr="00FD2843">
        <w:rPr>
          <w:rFonts w:ascii="Times New Roman" w:hAnsi="Times New Roman" w:cs="Times New Roman"/>
          <w:sz w:val="28"/>
          <w:szCs w:val="28"/>
        </w:rPr>
        <w:softHyphen/>
        <w:t>рования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 - прежде всего создать научные </w:t>
      </w:r>
      <w:r w:rsidRPr="00FD2843">
        <w:rPr>
          <w:rFonts w:ascii="Times New Roman" w:hAnsi="Times New Roman" w:cs="Times New Roman"/>
          <w:sz w:val="28"/>
          <w:szCs w:val="28"/>
        </w:rPr>
        <w:t>предпосылки для их осуществления.</w:t>
      </w:r>
    </w:p>
    <w:p w:rsidR="00FD2843" w:rsidRDefault="00DD0AD6" w:rsidP="00FD2843">
      <w:pPr>
        <w:pStyle w:val="a4"/>
        <w:numPr>
          <w:ilvl w:val="0"/>
          <w:numId w:val="2"/>
        </w:numPr>
        <w:spacing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D2843">
        <w:rPr>
          <w:rFonts w:ascii="Times New Roman" w:hAnsi="Times New Roman" w:cs="Times New Roman"/>
          <w:sz w:val="28"/>
          <w:szCs w:val="28"/>
        </w:rPr>
        <w:t>Важнейшим составным элементом методологии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 планирования и прогнозирования </w:t>
      </w:r>
      <w:r w:rsidRPr="00FD2843">
        <w:rPr>
          <w:rFonts w:ascii="Times New Roman" w:hAnsi="Times New Roman" w:cs="Times New Roman"/>
          <w:sz w:val="28"/>
          <w:szCs w:val="28"/>
        </w:rPr>
        <w:t>являются методологические принципы, п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од которыми понимаются исходные </w:t>
      </w:r>
      <w:r w:rsidRPr="00FD2843">
        <w:rPr>
          <w:rFonts w:ascii="Times New Roman" w:hAnsi="Times New Roman" w:cs="Times New Roman"/>
          <w:sz w:val="28"/>
          <w:szCs w:val="28"/>
        </w:rPr>
        <w:t>положения, основополагающие правила форм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ирования и обоснования планов и </w:t>
      </w:r>
      <w:r w:rsidRPr="00FD2843">
        <w:rPr>
          <w:rFonts w:ascii="Times New Roman" w:hAnsi="Times New Roman" w:cs="Times New Roman"/>
          <w:sz w:val="28"/>
          <w:szCs w:val="28"/>
        </w:rPr>
        <w:t>прогнозов. Они обеспечивают целенаправленн</w:t>
      </w:r>
      <w:r w:rsidR="00FD2843" w:rsidRPr="00FD2843">
        <w:rPr>
          <w:rFonts w:ascii="Times New Roman" w:hAnsi="Times New Roman" w:cs="Times New Roman"/>
          <w:sz w:val="28"/>
          <w:szCs w:val="28"/>
        </w:rPr>
        <w:t xml:space="preserve">ость, целостность, определенную </w:t>
      </w:r>
      <w:r w:rsidRPr="00FD2843">
        <w:rPr>
          <w:rFonts w:ascii="Times New Roman" w:hAnsi="Times New Roman" w:cs="Times New Roman"/>
          <w:sz w:val="28"/>
          <w:szCs w:val="28"/>
        </w:rPr>
        <w:t>структуру и логику разрабатываемых планов и прогнозов.</w:t>
      </w:r>
      <w:r w:rsidR="007B357B" w:rsidRPr="007B357B">
        <w:rPr>
          <w:rFonts w:ascii="Times New Roman" w:hAnsi="Times New Roman" w:cs="Times New Roman"/>
          <w:sz w:val="28"/>
          <w:szCs w:val="28"/>
        </w:rPr>
        <w:t xml:space="preserve"> [</w:t>
      </w:r>
      <w:r w:rsidR="007B357B">
        <w:rPr>
          <w:rFonts w:ascii="Times New Roman" w:hAnsi="Times New Roman" w:cs="Times New Roman"/>
          <w:sz w:val="28"/>
          <w:szCs w:val="28"/>
          <w:lang w:val="en-US"/>
        </w:rPr>
        <w:t>3]</w:t>
      </w:r>
    </w:p>
    <w:p w:rsidR="007B357B" w:rsidRDefault="007B357B" w:rsidP="007B357B">
      <w:pPr>
        <w:pStyle w:val="a4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251" w:rsidRPr="002E6FE8" w:rsidRDefault="002E6FE8" w:rsidP="002E6FE8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 w:rsidR="007B357B" w:rsidRPr="002E6FE8">
        <w:rPr>
          <w:rFonts w:ascii="Times New Roman" w:hAnsi="Times New Roman" w:cs="Times New Roman"/>
          <w:color w:val="000000"/>
          <w:sz w:val="18"/>
          <w:szCs w:val="18"/>
        </w:rPr>
        <w:t>.Кандаурова Г.А, Борисевич В.И. Прогнозирование и планирование экономики –М.: Современная школа, 2005г. - 480с</w:t>
      </w:r>
      <w:bookmarkStart w:id="0" w:name="_GoBack"/>
      <w:bookmarkEnd w:id="0"/>
    </w:p>
    <w:p w:rsidR="00DD0AD6" w:rsidRDefault="00FD2843" w:rsidP="00FD284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42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использованной </w:t>
      </w:r>
      <w:r w:rsidR="00C94251" w:rsidRPr="00C94251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7B357B" w:rsidRDefault="007B357B" w:rsidP="007B357B">
      <w:pPr>
        <w:pStyle w:val="a3"/>
        <w:numPr>
          <w:ilvl w:val="0"/>
          <w:numId w:val="6"/>
        </w:numPr>
        <w:spacing w:line="360" w:lineRule="auto"/>
        <w:rPr>
          <w:szCs w:val="28"/>
        </w:rPr>
      </w:pPr>
      <w:r>
        <w:rPr>
          <w:szCs w:val="28"/>
        </w:rPr>
        <w:t>Прогнозирование, стратегическое планирование национальное программирование: Учебник / Б.Н. Кузык, В.И. Кушлин, Ю.В. Яковец – 2-е изд., перераб. и доп. – М.: ЗАО «Издательство Экономика», 2008. – 572 с. – (Высшее образование)</w:t>
      </w:r>
    </w:p>
    <w:p w:rsidR="007B357B" w:rsidRPr="007B357B" w:rsidRDefault="007B357B" w:rsidP="007B357B">
      <w:pPr>
        <w:pStyle w:val="a3"/>
        <w:numPr>
          <w:ilvl w:val="0"/>
          <w:numId w:val="6"/>
        </w:numPr>
        <w:spacing w:line="360" w:lineRule="auto"/>
        <w:rPr>
          <w:szCs w:val="28"/>
        </w:rPr>
      </w:pPr>
      <w:r w:rsidRPr="007B357B">
        <w:rPr>
          <w:color w:val="000000"/>
          <w:szCs w:val="28"/>
        </w:rPr>
        <w:t>Басовский Л.Е., Прогнозирование и планирование в условиях рынка. –М.: ИНФРА-М, 2006г, 259 с.</w:t>
      </w:r>
    </w:p>
    <w:p w:rsidR="007B357B" w:rsidRPr="007B357B" w:rsidRDefault="007B357B" w:rsidP="007B357B">
      <w:pPr>
        <w:pStyle w:val="a3"/>
        <w:numPr>
          <w:ilvl w:val="0"/>
          <w:numId w:val="6"/>
        </w:numPr>
        <w:spacing w:line="360" w:lineRule="auto"/>
        <w:rPr>
          <w:szCs w:val="28"/>
        </w:rPr>
      </w:pPr>
      <w:r w:rsidRPr="007B357B">
        <w:rPr>
          <w:color w:val="000000"/>
          <w:szCs w:val="28"/>
        </w:rPr>
        <w:t>Кандаурова Г.А, Борисевич В.И. Прогнозирование и планирование экономики –М.: Современная школа, 2005г. - 480с.</w:t>
      </w:r>
    </w:p>
    <w:p w:rsidR="007B357B" w:rsidRDefault="007B357B" w:rsidP="00FD28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4251" w:rsidRPr="00C94251" w:rsidRDefault="00C94251" w:rsidP="00FD28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74" w:rsidRDefault="00A10E74" w:rsidP="00DD0AD6">
      <w:pPr>
        <w:jc w:val="both"/>
      </w:pPr>
    </w:p>
    <w:sectPr w:rsidR="00A10E74" w:rsidSect="00C94251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84C" w:rsidRDefault="0074384C" w:rsidP="00C94251">
      <w:pPr>
        <w:spacing w:after="0" w:line="240" w:lineRule="auto"/>
      </w:pPr>
      <w:r>
        <w:separator/>
      </w:r>
    </w:p>
  </w:endnote>
  <w:endnote w:type="continuationSeparator" w:id="1">
    <w:p w:rsidR="0074384C" w:rsidRDefault="0074384C" w:rsidP="00C94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2990688"/>
      <w:docPartObj>
        <w:docPartGallery w:val="Page Numbers (Bottom of Page)"/>
        <w:docPartUnique/>
      </w:docPartObj>
    </w:sdtPr>
    <w:sdtContent>
      <w:p w:rsidR="00C94251" w:rsidRDefault="0075414B">
        <w:pPr>
          <w:pStyle w:val="a7"/>
          <w:jc w:val="right"/>
        </w:pPr>
        <w:r>
          <w:fldChar w:fldCharType="begin"/>
        </w:r>
        <w:r w:rsidR="00C94251">
          <w:instrText>PAGE   \* MERGEFORMAT</w:instrText>
        </w:r>
        <w:r>
          <w:fldChar w:fldCharType="separate"/>
        </w:r>
        <w:r w:rsidR="00E178B7">
          <w:rPr>
            <w:noProof/>
          </w:rPr>
          <w:t>14</w:t>
        </w:r>
        <w:r>
          <w:fldChar w:fldCharType="end"/>
        </w:r>
      </w:p>
    </w:sdtContent>
  </w:sdt>
  <w:p w:rsidR="00C94251" w:rsidRDefault="00C942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84C" w:rsidRDefault="0074384C" w:rsidP="00C94251">
      <w:pPr>
        <w:spacing w:after="0" w:line="240" w:lineRule="auto"/>
      </w:pPr>
      <w:r>
        <w:separator/>
      </w:r>
    </w:p>
  </w:footnote>
  <w:footnote w:type="continuationSeparator" w:id="1">
    <w:p w:rsidR="0074384C" w:rsidRDefault="0074384C" w:rsidP="00C94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056E8"/>
    <w:multiLevelType w:val="hybridMultilevel"/>
    <w:tmpl w:val="13DE8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51E5"/>
    <w:multiLevelType w:val="hybridMultilevel"/>
    <w:tmpl w:val="A5ECE69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3CA30385"/>
    <w:multiLevelType w:val="hybridMultilevel"/>
    <w:tmpl w:val="D25495B4"/>
    <w:lvl w:ilvl="0" w:tplc="6AF83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2E2C71"/>
    <w:multiLevelType w:val="hybridMultilevel"/>
    <w:tmpl w:val="E5B869A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C0C3CD0"/>
    <w:multiLevelType w:val="hybridMultilevel"/>
    <w:tmpl w:val="23E0A9A0"/>
    <w:lvl w:ilvl="0" w:tplc="82D4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B0405C"/>
    <w:multiLevelType w:val="hybridMultilevel"/>
    <w:tmpl w:val="A6DAA072"/>
    <w:lvl w:ilvl="0" w:tplc="EC40E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0AD6"/>
    <w:rsid w:val="000339E0"/>
    <w:rsid w:val="000B2C61"/>
    <w:rsid w:val="00245331"/>
    <w:rsid w:val="002D4822"/>
    <w:rsid w:val="002E6FE8"/>
    <w:rsid w:val="00613799"/>
    <w:rsid w:val="00615818"/>
    <w:rsid w:val="0074384C"/>
    <w:rsid w:val="0075414B"/>
    <w:rsid w:val="007B357B"/>
    <w:rsid w:val="00825E7A"/>
    <w:rsid w:val="008345C6"/>
    <w:rsid w:val="0083550D"/>
    <w:rsid w:val="0098635E"/>
    <w:rsid w:val="009A4088"/>
    <w:rsid w:val="00A10E74"/>
    <w:rsid w:val="00AF1987"/>
    <w:rsid w:val="00B51C1B"/>
    <w:rsid w:val="00BE6D8B"/>
    <w:rsid w:val="00C94251"/>
    <w:rsid w:val="00DD0AD6"/>
    <w:rsid w:val="00E178B7"/>
    <w:rsid w:val="00E3326D"/>
    <w:rsid w:val="00E85635"/>
    <w:rsid w:val="00F566C4"/>
    <w:rsid w:val="00FC7D86"/>
    <w:rsid w:val="00FD2843"/>
    <w:rsid w:val="00FF3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AD6"/>
    <w:pPr>
      <w:spacing w:after="0" w:line="264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D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AD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DD0AD6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251"/>
  </w:style>
  <w:style w:type="paragraph" w:styleId="a7">
    <w:name w:val="footer"/>
    <w:basedOn w:val="a"/>
    <w:link w:val="a8"/>
    <w:uiPriority w:val="99"/>
    <w:unhideWhenUsed/>
    <w:rsid w:val="00C9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2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AD6"/>
    <w:pPr>
      <w:spacing w:after="0" w:line="264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D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AD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DD0AD6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251"/>
  </w:style>
  <w:style w:type="paragraph" w:styleId="a7">
    <w:name w:val="footer"/>
    <w:basedOn w:val="a"/>
    <w:link w:val="a8"/>
    <w:uiPriority w:val="99"/>
    <w:unhideWhenUsed/>
    <w:rsid w:val="00C9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2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2864</Words>
  <Characters>16327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Гвалт</cp:lastModifiedBy>
  <cp:revision>8</cp:revision>
  <cp:lastPrinted>2013-11-22T16:26:00Z</cp:lastPrinted>
  <dcterms:created xsi:type="dcterms:W3CDTF">2013-10-20T14:01:00Z</dcterms:created>
  <dcterms:modified xsi:type="dcterms:W3CDTF">2013-11-22T16:27:00Z</dcterms:modified>
</cp:coreProperties>
</file>