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26F" w:rsidRPr="00CE1F0A" w:rsidRDefault="0050526F" w:rsidP="0050526F">
      <w:pPr>
        <w:autoSpaceDE w:val="0"/>
        <w:autoSpaceDN w:val="0"/>
        <w:adjustRightInd w:val="0"/>
        <w:spacing w:line="360" w:lineRule="atLeast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E1F0A">
        <w:rPr>
          <w:rFonts w:ascii="Times New Roman" w:eastAsia="Times New Roman" w:hAnsi="Times New Roman" w:cs="Times New Roman"/>
          <w:bCs/>
          <w:sz w:val="32"/>
          <w:szCs w:val="32"/>
        </w:rPr>
        <w:t>МИНИСТЕРСТВО ОБРАЗОВАНИЯ И НАУКИ</w:t>
      </w:r>
    </w:p>
    <w:p w:rsidR="0050526F" w:rsidRPr="00CE1F0A" w:rsidRDefault="0050526F" w:rsidP="0050526F">
      <w:pPr>
        <w:autoSpaceDE w:val="0"/>
        <w:autoSpaceDN w:val="0"/>
        <w:adjustRightInd w:val="0"/>
        <w:spacing w:line="36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1F0A">
        <w:rPr>
          <w:rFonts w:ascii="Times New Roman" w:eastAsia="Times New Roman" w:hAnsi="Times New Roman" w:cs="Times New Roman"/>
          <w:bCs/>
          <w:sz w:val="32"/>
          <w:szCs w:val="32"/>
        </w:rPr>
        <w:t>РОССИЙСКОЙ ФЕДЕРАЦИИ</w:t>
      </w:r>
    </w:p>
    <w:p w:rsidR="0050526F" w:rsidRPr="00CE1F0A" w:rsidRDefault="0050526F" w:rsidP="0050526F">
      <w:pPr>
        <w:autoSpaceDE w:val="0"/>
        <w:autoSpaceDN w:val="0"/>
        <w:adjustRightInd w:val="0"/>
        <w:spacing w:line="36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1F0A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Государственное образовательное учреждение</w:t>
      </w:r>
    </w:p>
    <w:p w:rsidR="0050526F" w:rsidRPr="00CE1F0A" w:rsidRDefault="0050526F" w:rsidP="0050526F">
      <w:pPr>
        <w:spacing w:line="36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1F0A">
        <w:rPr>
          <w:rFonts w:ascii="Times New Roman" w:eastAsia="Times New Roman" w:hAnsi="Times New Roman" w:cs="Times New Roman"/>
          <w:bCs/>
          <w:sz w:val="28"/>
          <w:szCs w:val="28"/>
        </w:rPr>
        <w:t>высшего профессионального образования</w:t>
      </w: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Уфимский филиал Финансового университета при Правительстве РФ</w:t>
      </w:r>
      <w:r w:rsidRPr="00CE1F0A">
        <w:rPr>
          <w:rFonts w:ascii="Times New Roman" w:hAnsi="Times New Roman" w:cs="Times New Roman"/>
          <w:sz w:val="28"/>
          <w:szCs w:val="28"/>
        </w:rPr>
        <w:br/>
        <w:t>Кафедра «Финансы и кредит»</w:t>
      </w: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по дисциплине «Теория финансового менеджмента »</w:t>
      </w: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Вариант 8</w:t>
      </w:r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Исполнитель:                                                                            Специальность: Ф и</w:t>
      </w:r>
      <w:proofErr w:type="gramStart"/>
      <w:r w:rsidRPr="00CE1F0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Группа: 5ДО</w:t>
      </w:r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№ зачётной книжки: </w:t>
      </w:r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Руководитель: ст. пр.            </w:t>
      </w:r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rPr>
          <w:rFonts w:ascii="Times New Roman" w:hAnsi="Times New Roman" w:cs="Times New Roman"/>
          <w:sz w:val="28"/>
          <w:szCs w:val="28"/>
        </w:rPr>
      </w:pPr>
    </w:p>
    <w:p w:rsidR="008139AB" w:rsidRDefault="008139AB" w:rsidP="0050526F">
      <w:pPr>
        <w:rPr>
          <w:rFonts w:ascii="Times New Roman" w:hAnsi="Times New Roman" w:cs="Times New Roman"/>
          <w:sz w:val="28"/>
          <w:szCs w:val="28"/>
        </w:rPr>
      </w:pPr>
    </w:p>
    <w:p w:rsidR="00047F8B" w:rsidRPr="00CE1F0A" w:rsidRDefault="00047F8B" w:rsidP="0050526F">
      <w:pPr>
        <w:rPr>
          <w:rFonts w:ascii="Times New Roman" w:hAnsi="Times New Roman" w:cs="Times New Roman"/>
          <w:sz w:val="28"/>
          <w:szCs w:val="28"/>
        </w:rPr>
      </w:pP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Уфа</w:t>
      </w:r>
    </w:p>
    <w:p w:rsidR="0050526F" w:rsidRPr="00CE1F0A" w:rsidRDefault="0050526F" w:rsidP="005052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2012</w:t>
      </w:r>
    </w:p>
    <w:p w:rsidR="0050526F" w:rsidRPr="00CE1F0A" w:rsidRDefault="0050526F" w:rsidP="0050526F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lastRenderedPageBreak/>
        <w:t>Содержание.</w:t>
      </w:r>
    </w:p>
    <w:p w:rsidR="0050526F" w:rsidRPr="00CE1F0A" w:rsidRDefault="00285435" w:rsidP="0050526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1</w:t>
      </w:r>
      <w:r w:rsidR="00FE7994">
        <w:rPr>
          <w:rFonts w:ascii="Times New Roman" w:hAnsi="Times New Roman" w:cs="Times New Roman"/>
          <w:sz w:val="28"/>
          <w:szCs w:val="28"/>
        </w:rPr>
        <w:t>…………………………………………………………..</w:t>
      </w:r>
      <w:r w:rsidR="0050526F" w:rsidRPr="00CE1F0A">
        <w:rPr>
          <w:rFonts w:ascii="Times New Roman" w:hAnsi="Times New Roman" w:cs="Times New Roman"/>
          <w:sz w:val="28"/>
          <w:szCs w:val="28"/>
        </w:rPr>
        <w:t>…...……с.3</w:t>
      </w:r>
    </w:p>
    <w:p w:rsidR="0050526F" w:rsidRPr="00CE1F0A" w:rsidRDefault="00285435" w:rsidP="0050526F">
      <w:pPr>
        <w:shd w:val="clear" w:color="auto" w:fill="FFFFFF"/>
        <w:spacing w:after="0" w:line="360" w:lineRule="auto"/>
        <w:ind w:left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2……………………</w:t>
      </w:r>
      <w:r w:rsidR="00FE7994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="0050526F" w:rsidRPr="00CE1F0A">
        <w:rPr>
          <w:rFonts w:ascii="Times New Roman" w:hAnsi="Times New Roman" w:cs="Times New Roman"/>
          <w:sz w:val="28"/>
          <w:szCs w:val="28"/>
        </w:rPr>
        <w:t>с.</w:t>
      </w:r>
      <w:r w:rsidR="00FE7994">
        <w:rPr>
          <w:rFonts w:ascii="Times New Roman" w:hAnsi="Times New Roman" w:cs="Times New Roman"/>
          <w:sz w:val="28"/>
          <w:szCs w:val="28"/>
        </w:rPr>
        <w:t>5</w:t>
      </w:r>
    </w:p>
    <w:p w:rsidR="0050526F" w:rsidRPr="00CE1F0A" w:rsidRDefault="00285435" w:rsidP="0050526F">
      <w:pPr>
        <w:pStyle w:val="2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3</w:t>
      </w:r>
      <w:r w:rsidR="00FE7994">
        <w:rPr>
          <w:rFonts w:ascii="Times New Roman" w:hAnsi="Times New Roman" w:cs="Times New Roman"/>
          <w:sz w:val="28"/>
          <w:szCs w:val="28"/>
        </w:rPr>
        <w:t>…………</w:t>
      </w:r>
      <w:r w:rsidR="00C96C47">
        <w:rPr>
          <w:rFonts w:ascii="Times New Roman" w:hAnsi="Times New Roman" w:cs="Times New Roman"/>
          <w:sz w:val="28"/>
          <w:szCs w:val="28"/>
        </w:rPr>
        <w:t>.</w:t>
      </w:r>
      <w:r w:rsidR="00FE7994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C96C47">
        <w:rPr>
          <w:rFonts w:ascii="Times New Roman" w:hAnsi="Times New Roman" w:cs="Times New Roman"/>
          <w:sz w:val="28"/>
          <w:szCs w:val="28"/>
        </w:rPr>
        <w:t>с.9</w:t>
      </w:r>
    </w:p>
    <w:p w:rsidR="0050526F" w:rsidRPr="00CE1F0A" w:rsidRDefault="0050526F" w:rsidP="0050526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Задач</w:t>
      </w:r>
      <w:r w:rsidR="00C96C4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C96C47">
        <w:rPr>
          <w:rFonts w:ascii="Times New Roman" w:hAnsi="Times New Roman" w:cs="Times New Roman"/>
          <w:sz w:val="28"/>
          <w:szCs w:val="28"/>
        </w:rPr>
        <w:t>………………………………………………………….......……</w:t>
      </w:r>
      <w:proofErr w:type="gramEnd"/>
      <w:r w:rsidR="00C96C47">
        <w:rPr>
          <w:rFonts w:ascii="Times New Roman" w:hAnsi="Times New Roman" w:cs="Times New Roman"/>
          <w:sz w:val="28"/>
          <w:szCs w:val="28"/>
        </w:rPr>
        <w:t>с.12</w:t>
      </w:r>
    </w:p>
    <w:p w:rsidR="0050526F" w:rsidRPr="00CE1F0A" w:rsidRDefault="0050526F" w:rsidP="0050526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proofErr w:type="gramStart"/>
      <w:r w:rsidRPr="00CE1F0A">
        <w:rPr>
          <w:rFonts w:ascii="Times New Roman" w:hAnsi="Times New Roman" w:cs="Times New Roman"/>
          <w:sz w:val="28"/>
          <w:szCs w:val="28"/>
        </w:rPr>
        <w:t>…………………………….…...</w:t>
      </w:r>
      <w:proofErr w:type="gramEnd"/>
      <w:r w:rsidRPr="00CE1F0A">
        <w:rPr>
          <w:rFonts w:ascii="Times New Roman" w:hAnsi="Times New Roman" w:cs="Times New Roman"/>
          <w:sz w:val="28"/>
          <w:szCs w:val="28"/>
        </w:rPr>
        <w:t>с.</w:t>
      </w:r>
      <w:r w:rsidR="00C96C47">
        <w:rPr>
          <w:rFonts w:ascii="Times New Roman" w:hAnsi="Times New Roman" w:cs="Times New Roman"/>
          <w:sz w:val="28"/>
          <w:szCs w:val="28"/>
        </w:rPr>
        <w:t>15</w:t>
      </w:r>
    </w:p>
    <w:p w:rsidR="0050526F" w:rsidRPr="00CE1F0A" w:rsidRDefault="0050526F" w:rsidP="0050526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059A" w:rsidRPr="00CE1F0A" w:rsidRDefault="00AC059A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Default="008139AB">
      <w:pPr>
        <w:rPr>
          <w:rFonts w:ascii="Times New Roman" w:hAnsi="Times New Roman" w:cs="Times New Roman"/>
        </w:rPr>
      </w:pPr>
    </w:p>
    <w:p w:rsidR="00285435" w:rsidRDefault="00285435">
      <w:pPr>
        <w:rPr>
          <w:rFonts w:ascii="Times New Roman" w:hAnsi="Times New Roman" w:cs="Times New Roman"/>
        </w:rPr>
      </w:pPr>
    </w:p>
    <w:p w:rsidR="00285435" w:rsidRDefault="00285435">
      <w:pPr>
        <w:rPr>
          <w:rFonts w:ascii="Times New Roman" w:hAnsi="Times New Roman" w:cs="Times New Roman"/>
        </w:rPr>
      </w:pPr>
    </w:p>
    <w:p w:rsidR="00285435" w:rsidRPr="00CE1F0A" w:rsidRDefault="00285435">
      <w:pPr>
        <w:rPr>
          <w:rFonts w:ascii="Times New Roman" w:hAnsi="Times New Roman" w:cs="Times New Roman"/>
        </w:rPr>
      </w:pPr>
    </w:p>
    <w:p w:rsidR="008139AB" w:rsidRPr="00CE1F0A" w:rsidRDefault="008139AB">
      <w:pPr>
        <w:rPr>
          <w:rFonts w:ascii="Times New Roman" w:hAnsi="Times New Roman" w:cs="Times New Roman"/>
        </w:rPr>
      </w:pPr>
    </w:p>
    <w:p w:rsidR="008139AB" w:rsidRPr="00CE1F0A" w:rsidRDefault="008139AB" w:rsidP="00A40CA2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lastRenderedPageBreak/>
        <w:t>Вариант 8.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t>1. Укажите неверное утверждение: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1) высокий показатель операционного </w:t>
      </w:r>
      <w:proofErr w:type="spellStart"/>
      <w:r w:rsidRPr="00CE1F0A">
        <w:rPr>
          <w:rFonts w:ascii="Times New Roman" w:hAnsi="Times New Roman" w:cs="Times New Roman"/>
          <w:sz w:val="28"/>
          <w:szCs w:val="28"/>
        </w:rPr>
        <w:t>левериджа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свидетельствует о высоком уровне деловых рисков предприятия</w:t>
      </w:r>
    </w:p>
    <w:p w:rsidR="002A1A76" w:rsidRPr="00CE1F0A" w:rsidRDefault="008139AB" w:rsidP="00C9246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2) высокий показатель коэффициента текущей ликвидности 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3) высокий показатель у финансово здорового предприятия доли заемного капитала в совокупных активах этого прибыльного предприятия свидетельствует о высоком уровне рентабельности его продукции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4) большой срок окупаемости инвестиционных проектов, начатых фирмой с неликвидными </w:t>
      </w:r>
      <w:proofErr w:type="spellStart"/>
      <w:r w:rsidRPr="00CE1F0A">
        <w:rPr>
          <w:rFonts w:ascii="Times New Roman" w:hAnsi="Times New Roman" w:cs="Times New Roman"/>
          <w:sz w:val="28"/>
          <w:szCs w:val="28"/>
        </w:rPr>
        <w:t>высококотируемыми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акциями, свидетельствует об ошибочности ее инвестиционной политики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t>5) предприятие с наступательной инновационной стратегией на конкурентном рынке финансово более успешно, чем предприятие с оборонительной инновационной стратегией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6) предприятие с высокой долей ценных специальных активов менее приспособлено для диверсификации своей продукции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7) основным видом строкового риска является риск отрицательного экономического роста.</w:t>
      </w:r>
    </w:p>
    <w:p w:rsidR="00C9246A" w:rsidRPr="00CE1F0A" w:rsidRDefault="00C9246A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Ответ: 5.</w:t>
      </w:r>
    </w:p>
    <w:p w:rsidR="00B1081B" w:rsidRPr="00CE1F0A" w:rsidRDefault="00B1081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Стратегия представляет собой обобщенную модель действий, необходимых для достижения поставленных целей. Цели - это ключевые результаты, к которым стремится предприятие в своей деятельности. Ставя определенные цели, руководство формулирует те главные ориентиры, на которых должна быть сфокусирована вся деятельность предприятия и его коллектива.</w:t>
      </w:r>
    </w:p>
    <w:p w:rsidR="00B1081B" w:rsidRPr="00CE1F0A" w:rsidRDefault="00B1081B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lastRenderedPageBreak/>
        <w:t>Наступательные стратегии основаны, как правило, на научных открытиях и изобретениях, рассчитаны на занятие лидирующего положения на рынке или в отрасли. Однако они требуют значительных финансовых затрат, имеют высокую степень риска, но в случае успеха дают высокие результаты.</w:t>
      </w:r>
    </w:p>
    <w:p w:rsidR="00B1081B" w:rsidRPr="00CE1F0A" w:rsidRDefault="00B1081B" w:rsidP="00B1081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Оборонительная стратегия, или стратегия выживания, предполагает сохранение фирмой имеющейся рыночной доли и удержание своих позиций на рынке. </w:t>
      </w:r>
      <w:proofErr w:type="gramStart"/>
      <w:r w:rsidRPr="00CE1F0A">
        <w:rPr>
          <w:rFonts w:ascii="Times New Roman" w:hAnsi="Times New Roman" w:cs="Times New Roman"/>
          <w:sz w:val="28"/>
          <w:szCs w:val="28"/>
        </w:rPr>
        <w:t xml:space="preserve">Подобная стратегия выбирается, если рыночная позиция фирмы удовлетворительная или у нее недостаточно средств для проведения активной наступательной стратегии; фирма опасается проводить последнюю из-за нежелательных ответных мер сильных конкурентов или </w:t>
      </w:r>
      <w:proofErr w:type="spellStart"/>
      <w:r w:rsidRPr="00CE1F0A">
        <w:rPr>
          <w:rFonts w:ascii="Times New Roman" w:hAnsi="Times New Roman" w:cs="Times New Roman"/>
          <w:sz w:val="28"/>
          <w:szCs w:val="28"/>
        </w:rPr>
        <w:t>наказующих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мер со стороны государства.</w:t>
      </w:r>
      <w:proofErr w:type="gramEnd"/>
    </w:p>
    <w:p w:rsidR="00B1081B" w:rsidRPr="00047F8B" w:rsidRDefault="00B1081B" w:rsidP="00B1081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Однако такой тип стратегии довольно опасен и требует самого пристального внимания со стороны проводящей ее фирмы к вопросам научно-технического прогресса и действиям фирм-конкурентов. Фирма может оказаться на грани краха и вынуждена будет уйти с рынка, так как незамеченные вовремя изобретения конкурентов приведут к снижению их издержек производства и подорвут позиции обороняющей компании.</w:t>
      </w:r>
      <w:r w:rsidR="00285435">
        <w:rPr>
          <w:rFonts w:ascii="Times New Roman" w:hAnsi="Times New Roman" w:cs="Times New Roman"/>
          <w:sz w:val="28"/>
          <w:szCs w:val="28"/>
        </w:rPr>
        <w:t xml:space="preserve"> </w:t>
      </w:r>
      <w:r w:rsidR="00285435" w:rsidRPr="00047F8B">
        <w:rPr>
          <w:rFonts w:ascii="Times New Roman" w:hAnsi="Times New Roman" w:cs="Times New Roman"/>
          <w:sz w:val="28"/>
          <w:szCs w:val="28"/>
        </w:rPr>
        <w:t>[8].</w:t>
      </w:r>
    </w:p>
    <w:p w:rsidR="00C9246A" w:rsidRPr="00CE1F0A" w:rsidRDefault="00C9246A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246A" w:rsidRPr="00CE1F0A" w:rsidRDefault="00C9246A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0CA2" w:rsidRPr="00CE1F0A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246A" w:rsidRPr="00CE1F0A" w:rsidRDefault="00C9246A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246A" w:rsidRPr="00047F8B" w:rsidRDefault="00C9246A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lastRenderedPageBreak/>
        <w:t>2. Реструктуризация имущества предприятия состоит: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t>1) в выявлении и продаже (или выведении с баланса прочими способами) избыточных активов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2) в приобретении либо создании собственными силами новых материальных и нематериальных активов, необходимых для реализации антикризисных инвестиционных проектов18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3) в возвратном лизинге специального технологического оборудования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t>4) во внесении имущества в уставные фонды выделяемых или вновь учреждаемых дочерних предприятий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5) в отражении на балансе фирмы ранее не показывавшихся в нем нематериальных активов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6) в продаже долевых участий в реализующих перспективные инновационные проекты дочерних предприятиях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7) во всем перечисленном.</w:t>
      </w:r>
    </w:p>
    <w:p w:rsidR="00C9246A" w:rsidRPr="00CE1F0A" w:rsidRDefault="00C9246A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Ответ: 1, 4.</w:t>
      </w:r>
    </w:p>
    <w:p w:rsidR="007823EB" w:rsidRPr="00CE1F0A" w:rsidRDefault="007823EB" w:rsidP="00CC01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Основная цель реструктуризации имущественного комплекса предприятия — сформировать такую структуру активов (движимого и недвижимого имущества, а также имущественных прав), которая позволяла бы </w:t>
      </w:r>
      <w:proofErr w:type="gramStart"/>
      <w:r w:rsidRPr="00CE1F0A">
        <w:rPr>
          <w:rFonts w:ascii="Times New Roman" w:hAnsi="Times New Roman" w:cs="Times New Roman"/>
          <w:sz w:val="28"/>
          <w:szCs w:val="28"/>
        </w:rPr>
        <w:t>обеспечить наиболее эффективное ведение бизнеса и была</w:t>
      </w:r>
      <w:proofErr w:type="gramEnd"/>
      <w:r w:rsidRPr="00CE1F0A">
        <w:rPr>
          <w:rFonts w:ascii="Times New Roman" w:hAnsi="Times New Roman" w:cs="Times New Roman"/>
          <w:sz w:val="28"/>
          <w:szCs w:val="28"/>
        </w:rPr>
        <w:t xml:space="preserve"> бы наилучшим образом приспособлена к его организационной структуре. </w:t>
      </w:r>
    </w:p>
    <w:p w:rsidR="007823EB" w:rsidRPr="00CE1F0A" w:rsidRDefault="007823EB" w:rsidP="00CC01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В качестве основных мер по реструктуризации имущественного комплекса предприятия обычно выделяют: </w:t>
      </w:r>
    </w:p>
    <w:p w:rsidR="007823EB" w:rsidRPr="00CE1F0A" w:rsidRDefault="007823EB" w:rsidP="00CC01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• консервацию, продажу или сдачу в аренду неиспользуемого недвижимого имущества; </w:t>
      </w:r>
    </w:p>
    <w:p w:rsidR="007823EB" w:rsidRPr="00CE1F0A" w:rsidRDefault="007823EB" w:rsidP="00CC01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lastRenderedPageBreak/>
        <w:t xml:space="preserve">• продажу объектов незавершенного строительства; </w:t>
      </w:r>
    </w:p>
    <w:p w:rsidR="007823EB" w:rsidRPr="00CE1F0A" w:rsidRDefault="007823EB" w:rsidP="00CC01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• продажу или сдачу в аренду неиспользуемых материальных активов, в том числе излишнего оборудования, материалов, комплектующих изделий и т.п.; </w:t>
      </w:r>
    </w:p>
    <w:p w:rsidR="007823EB" w:rsidRPr="00CE1F0A" w:rsidRDefault="007823EB" w:rsidP="00CC01F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• консервацию или списание мобилизационных мощностей; </w:t>
      </w:r>
    </w:p>
    <w:p w:rsidR="000D0E18" w:rsidRPr="00285435" w:rsidRDefault="007823EB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• продажу объектов социальной и коммунальной инфраструктуры.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1F0A">
        <w:rPr>
          <w:rFonts w:ascii="Times New Roman" w:hAnsi="Times New Roman" w:cs="Times New Roman"/>
          <w:i/>
          <w:sz w:val="28"/>
          <w:szCs w:val="28"/>
        </w:rPr>
        <w:t xml:space="preserve">Различаются два метода проведения реструктуризации имущественного комплекса предприятия: 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• непосредственное отчуждение материальных активов; 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• замещение активов предприятия на права участия в организации, создаваемой на базе этих активов. 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Первый из вышеперечисленных методов не требует особых пояснений. Отчуждение соответствующих активов может производиться в форме продажи, сдачи в аренду, возмездной или безвозмездной передачи иному лицу, а также списания, что влечет за собой соответствующее уменьшение величины активов и валюты баланса предприятия.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Замещение активов предприятия предусматривает создание одного или нескольких новых юридических лиц с оплатой соответствующих долей участия в этих организациях за счет имущества данного предприятия. С точки зрения бухгалтерского учета замещение активов не приводит к изменению валюты баланса предприятия, а лишь влечет за собой уменьшение отдельных статей актива баланса с соответствующим увеличением статьи «долгосрочные финансовые вложения» </w:t>
      </w:r>
      <w:proofErr w:type="spellStart"/>
      <w:r w:rsidRPr="00CE1F0A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активов. 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Следует обратить внимание на одну типичную ошибку: операцию замещения активов предприятия в ее правовом аспекте нередко </w:t>
      </w:r>
      <w:r w:rsidRPr="00CE1F0A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характеризуют как реорганизацию юридического лица в форме выделения. Действительно, в результате и той и другой операции на базе активов действующего предприятия создаются новое предприятие или несколько предприятий. </w:t>
      </w:r>
      <w:proofErr w:type="gramStart"/>
      <w:r w:rsidRPr="00CE1F0A">
        <w:rPr>
          <w:rFonts w:ascii="Times New Roman" w:hAnsi="Times New Roman" w:cs="Times New Roman"/>
          <w:sz w:val="28"/>
          <w:szCs w:val="28"/>
        </w:rPr>
        <w:t xml:space="preserve">Однако если в процессе выделения существующее предприятие отчуждает часть своего имущества, прав и обязательств в соответствии с разделительным балансом в пользу вновь образованного юридического лица без какой-либо компенсации, то в случае замещения активов отчуждаемое имущество компенсируется в балансе иными видами активов, а новое предприятие, за исключением переданного ему имущества, не получает от действующего предприятия никаких иных прав и обязательств. </w:t>
      </w:r>
      <w:proofErr w:type="gramEnd"/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Метод замещения активов был разработан специально для целей антикризисного управления предприятиями-должниками. 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Дело в том, что в практике работы с неплатежеспособными предприятиями нередко встречается ситуация, когда предприятие в состоянии обеспечить рентабельную работу в текущем режиме, однако доходы от его бизнеса совершенно недостаточны для погашения долгов, накопленных в предыдущие периоды. В такой ситуации неудовлетворенные кредиторы прибегают к обращению взыскания на имущество должника, что неизбежно приводит к невозможности продолжения функционирования предприятия. Таким образом, груз накопленных долгов губит вполне дееспособные предприятия. 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Рассчитывать на полное восстановление платежеспособности подобных предприятий можно в одном случае: если удастся «отделить» ранее накопленные долги от активов должника, дать возможность его бизнесу, очищенному от старых долгов, выйти на устойчивую доходность, а с накопленными долгами «разобраться» специальным образом, например посредством реструктуризации, но так, чтобы это не удушило обновленное предприятие. Собственно говоря, реабилитационные процедуры банкротства во всем мире строятся на использовании именно этого подхода. </w:t>
      </w:r>
    </w:p>
    <w:p w:rsidR="000D0E18" w:rsidRPr="00CE1F0A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lastRenderedPageBreak/>
        <w:t xml:space="preserve">В российском законодательстве о банкротстве замещение активов должника как одно из возможных мероприятий плана внешнего управления появилось лишь в 2002 г. с принятием Федерального закона «О несостоятельности (банкротстве)». Однако еще в мае 1998 г. Правительством РФ на базе ранее действовавшего закона о банкротстве было утверждено постановление № 476, которое установило порядок применения специальной методологии проведения процедур банкротства, получившей название «ускоренное банкротство». </w:t>
      </w:r>
    </w:p>
    <w:p w:rsidR="000D0E18" w:rsidRPr="00047F8B" w:rsidRDefault="000D0E18" w:rsidP="000D0E1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Суть этой методологии заключалась в том, что весь бизнес (имущественный комплекс) предприятия-должника выводился в новое акционерное общество и таким образом отделялся от ранее накопленных долгов, остававшихся на должнике. Это акционерное общество на следующий день после своей регистрации могло начать работу фактически «с чистого листа».</w:t>
      </w:r>
      <w:r w:rsidR="00B1595F" w:rsidRPr="00CE1F0A">
        <w:rPr>
          <w:rFonts w:ascii="Times New Roman" w:hAnsi="Times New Roman" w:cs="Times New Roman"/>
          <w:sz w:val="28"/>
          <w:szCs w:val="28"/>
        </w:rPr>
        <w:t xml:space="preserve"> </w:t>
      </w:r>
      <w:r w:rsidR="00285435" w:rsidRPr="00047F8B">
        <w:rPr>
          <w:rFonts w:ascii="Times New Roman" w:hAnsi="Times New Roman" w:cs="Times New Roman"/>
          <w:sz w:val="28"/>
          <w:szCs w:val="28"/>
        </w:rPr>
        <w:t xml:space="preserve">[4, </w:t>
      </w:r>
      <w:r w:rsidR="00B1595F" w:rsidRPr="00CE1F0A">
        <w:rPr>
          <w:rFonts w:ascii="Times New Roman" w:hAnsi="Times New Roman" w:cs="Times New Roman"/>
          <w:sz w:val="28"/>
          <w:szCs w:val="28"/>
        </w:rPr>
        <w:t>С. 954-956</w:t>
      </w:r>
      <w:r w:rsidR="00285435" w:rsidRPr="00047F8B">
        <w:rPr>
          <w:rFonts w:ascii="Times New Roman" w:hAnsi="Times New Roman" w:cs="Times New Roman"/>
          <w:sz w:val="28"/>
          <w:szCs w:val="28"/>
        </w:rPr>
        <w:t>].</w:t>
      </w: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047F8B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lastRenderedPageBreak/>
        <w:t>3. Преобразовать дебиторскую задолженность по ранее осуществленным поставкам с просроченной оплатой в векселя или облигации дебитора, выписанные им на будущие сроки, но на суммы, которые превышают задолженность: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t>1) можно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2) нет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3) нельзя сказать определенно.</w:t>
      </w:r>
    </w:p>
    <w:p w:rsidR="00A40CA2" w:rsidRPr="00CE1F0A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CE1F0A">
        <w:rPr>
          <w:rFonts w:ascii="Times New Roman" w:hAnsi="Times New Roman" w:cs="Times New Roman"/>
          <w:b/>
          <w:sz w:val="28"/>
          <w:szCs w:val="28"/>
        </w:rPr>
        <w:t>1) можно</w:t>
      </w:r>
    </w:p>
    <w:p w:rsidR="00A40CA2" w:rsidRPr="00285435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Проводя оценку просроченной задолженности, следует особо выделить ту ее часть, которая может быть причислена к неистребованной (безнадежной) дебиторской задолженности и в дальнейшем должна быть исключена из анализа, поскольку не может характеризовать имущественный комплекс предприятия как источник покрытия кредиторской задолженности. </w:t>
      </w:r>
    </w:p>
    <w:p w:rsidR="00A40CA2" w:rsidRPr="00285435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Тактика ведения</w:t>
      </w:r>
      <w:r w:rsidR="00285435">
        <w:rPr>
          <w:rFonts w:ascii="Times New Roman" w:hAnsi="Times New Roman" w:cs="Times New Roman"/>
          <w:sz w:val="28"/>
          <w:szCs w:val="28"/>
        </w:rPr>
        <w:t xml:space="preserve"> переговоров о погашении долгов:</w:t>
      </w:r>
    </w:p>
    <w:p w:rsidR="00A40CA2" w:rsidRPr="00285435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1. Признание законности требований по долгам и обязательствам</w:t>
      </w:r>
      <w:r w:rsidR="00285435">
        <w:rPr>
          <w:rFonts w:ascii="Times New Roman" w:hAnsi="Times New Roman" w:cs="Times New Roman"/>
          <w:sz w:val="28"/>
          <w:szCs w:val="28"/>
        </w:rPr>
        <w:t>;</w:t>
      </w:r>
      <w:r w:rsidRPr="00CE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CA2" w:rsidRPr="00285435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2. Подт</w:t>
      </w:r>
      <w:r w:rsidR="00285435">
        <w:rPr>
          <w:rFonts w:ascii="Times New Roman" w:hAnsi="Times New Roman" w:cs="Times New Roman"/>
          <w:sz w:val="28"/>
          <w:szCs w:val="28"/>
        </w:rPr>
        <w:t>верждение возможности погашения;</w:t>
      </w:r>
    </w:p>
    <w:p w:rsidR="00A40CA2" w:rsidRPr="00285435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3. Уточнение просроченных сроков по долгам</w:t>
      </w:r>
      <w:r w:rsidR="00285435">
        <w:rPr>
          <w:rFonts w:ascii="Times New Roman" w:hAnsi="Times New Roman" w:cs="Times New Roman"/>
          <w:sz w:val="28"/>
          <w:szCs w:val="28"/>
        </w:rPr>
        <w:t>;</w:t>
      </w:r>
      <w:r w:rsidRPr="00CE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4. Определение допустимых схем погашения долгов с учетом возможных реаль</w:t>
      </w:r>
      <w:r w:rsidR="00285435">
        <w:rPr>
          <w:rFonts w:ascii="Times New Roman" w:hAnsi="Times New Roman" w:cs="Times New Roman"/>
          <w:sz w:val="28"/>
          <w:szCs w:val="28"/>
        </w:rPr>
        <w:t>ных условий погашения на основе: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 ценных бумаг;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 предоставления товаров или услуг;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 перехода задолженности в целевые займы; </w:t>
      </w:r>
    </w:p>
    <w:p w:rsidR="00A40CA2" w:rsidRPr="00CE1F0A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 взаимозачета при наличии встречных обязательств; </w:t>
      </w:r>
    </w:p>
    <w:p w:rsidR="00A40CA2" w:rsidRPr="00CE1F0A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lastRenderedPageBreak/>
        <w:t xml:space="preserve">— возможности оформления залоговых отношений (за счет недвижимости, оборудования, транспортных средств);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 возможности уступки прав требования;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 возможности поручительства перед кредиторами (со стороны банков, органов власти и других структур); </w:t>
      </w:r>
    </w:p>
    <w:p w:rsidR="00A40CA2" w:rsidRPr="00CE1F0A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— переоформления долговых обязательств по договорной цене и др.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Превращение дебиторской задолженности в денежные средства или ее сокращение может происходить следующими способами: взысканием через судебную процедуру, инкассацией — добровольным перечислением дебитором денежных средств, реструктуризацией долгов предприятия</w:t>
      </w:r>
      <w:r w:rsidR="00285435">
        <w:rPr>
          <w:rFonts w:ascii="Times New Roman" w:hAnsi="Times New Roman" w:cs="Times New Roman"/>
          <w:sz w:val="28"/>
          <w:szCs w:val="28"/>
        </w:rPr>
        <w:t xml:space="preserve">. </w:t>
      </w:r>
      <w:r w:rsidRPr="00CE1F0A">
        <w:rPr>
          <w:rFonts w:ascii="Times New Roman" w:hAnsi="Times New Roman" w:cs="Times New Roman"/>
          <w:sz w:val="28"/>
          <w:szCs w:val="28"/>
        </w:rPr>
        <w:t xml:space="preserve">Основными путями для реструктуризации и уменьшения дебиторской задолженности организации могут быть: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—взаимозачет взаимных платежных требований до арбитражных процедур;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—передача дебитором в зачет погаш</w:t>
      </w:r>
      <w:r w:rsidR="00285435">
        <w:rPr>
          <w:rFonts w:ascii="Times New Roman" w:hAnsi="Times New Roman" w:cs="Times New Roman"/>
          <w:sz w:val="28"/>
          <w:szCs w:val="28"/>
        </w:rPr>
        <w:t xml:space="preserve">ения задолженности </w:t>
      </w:r>
      <w:proofErr w:type="spellStart"/>
      <w:r w:rsidR="00285435">
        <w:rPr>
          <w:rFonts w:ascii="Times New Roman" w:hAnsi="Times New Roman" w:cs="Times New Roman"/>
          <w:sz w:val="28"/>
          <w:szCs w:val="28"/>
        </w:rPr>
        <w:t>быстроликвид</w:t>
      </w:r>
      <w:r w:rsidRPr="00CE1F0A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ценных бумаг (государственных облигаций, акций известных компаний топливно-энергетического комплекса, телекоммуникационных и т.д.) по взаимному соглашению;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—передача дебитором части своего имущества в погашение задолженности, </w:t>
      </w:r>
    </w:p>
    <w:p w:rsidR="00A40CA2" w:rsidRPr="00CE1F0A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—переоформление дебиторской задолженности в векселя; </w:t>
      </w:r>
    </w:p>
    <w:p w:rsidR="00A40CA2" w:rsidRPr="00CE1F0A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—применение системы скидок от стоимости продукции при досрочном, своевременном платеже за отгруженную продукцию и снижение санкций за просрочку платежа; </w:t>
      </w:r>
    </w:p>
    <w:p w:rsidR="00A40CA2" w:rsidRPr="00CE1F0A" w:rsidRDefault="00A40CA2" w:rsidP="002854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—увеличение размера предоплаты за отгруженную продукцию;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lastRenderedPageBreak/>
        <w:t xml:space="preserve">—применение процедуры факторинга; </w:t>
      </w:r>
    </w:p>
    <w:p w:rsidR="00A40CA2" w:rsidRPr="00CE1F0A" w:rsidRDefault="00A40CA2" w:rsidP="0028543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—использование договора цессии; </w:t>
      </w:r>
    </w:p>
    <w:p w:rsidR="00285435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—подача имущественного иска на должника в арбитражный суд; </w:t>
      </w:r>
    </w:p>
    <w:p w:rsidR="00285435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—взыскание дебиторской задолженности со скидкой; </w:t>
      </w:r>
    </w:p>
    <w:p w:rsidR="00285435" w:rsidRDefault="00A40CA2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1F0A">
        <w:rPr>
          <w:rFonts w:ascii="Times New Roman" w:hAnsi="Times New Roman" w:cs="Times New Roman"/>
          <w:sz w:val="28"/>
          <w:szCs w:val="28"/>
        </w:rPr>
        <w:t>—отсрочка обязательств по дебиторской задолженности при обеспечении ее залогом.</w:t>
      </w:r>
      <w:r w:rsidRPr="00CE1F0A">
        <w:rPr>
          <w:rFonts w:ascii="Times New Roman" w:hAnsi="Times New Roman" w:cs="Times New Roman"/>
        </w:rPr>
        <w:t xml:space="preserve"> </w:t>
      </w:r>
      <w:r w:rsidR="00285435">
        <w:rPr>
          <w:rFonts w:ascii="Times New Roman" w:hAnsi="Times New Roman" w:cs="Times New Roman"/>
          <w:sz w:val="28"/>
          <w:lang w:val="en-US"/>
        </w:rPr>
        <w:t>[7], [2, c. 155-157].</w:t>
      </w: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435" w:rsidRDefault="00285435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40CA2" w:rsidRPr="00285435" w:rsidRDefault="00A40CA2" w:rsidP="002854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39AB" w:rsidRPr="00CE1F0A" w:rsidRDefault="008139AB" w:rsidP="00A40CA2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lastRenderedPageBreak/>
        <w:t>Задача.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Какой из двух предложенных ниже вариантов финансового оздоровления и повышения стоимости предприятия более </w:t>
      </w:r>
      <w:proofErr w:type="gramStart"/>
      <w:r w:rsidRPr="00CE1F0A">
        <w:rPr>
          <w:rFonts w:ascii="Times New Roman" w:hAnsi="Times New Roman" w:cs="Times New Roman"/>
          <w:sz w:val="28"/>
          <w:szCs w:val="28"/>
        </w:rPr>
        <w:t>предпочтителен</w:t>
      </w:r>
      <w:proofErr w:type="gramEnd"/>
      <w:r w:rsidRPr="00CE1F0A">
        <w:rPr>
          <w:rFonts w:ascii="Times New Roman" w:hAnsi="Times New Roman" w:cs="Times New Roman"/>
          <w:sz w:val="28"/>
          <w:szCs w:val="28"/>
        </w:rPr>
        <w:t xml:space="preserve"> с точки зрения ликвидации угрозы банкротства?</w:t>
      </w:r>
    </w:p>
    <w:p w:rsidR="008139AB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- </w:t>
      </w:r>
      <w:r w:rsidR="008139AB" w:rsidRPr="00CE1F0A">
        <w:rPr>
          <w:rFonts w:ascii="Times New Roman" w:hAnsi="Times New Roman" w:cs="Times New Roman"/>
          <w:sz w:val="28"/>
          <w:szCs w:val="28"/>
        </w:rPr>
        <w:t>Коэффициент текущей ликвидности предприятия равен 0,7.</w:t>
      </w:r>
    </w:p>
    <w:p w:rsidR="008139AB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 xml:space="preserve">- </w:t>
      </w:r>
      <w:r w:rsidR="008139AB" w:rsidRPr="00CE1F0A">
        <w:rPr>
          <w:rFonts w:ascii="Times New Roman" w:hAnsi="Times New Roman" w:cs="Times New Roman"/>
          <w:sz w:val="28"/>
          <w:szCs w:val="28"/>
        </w:rPr>
        <w:t>Краткосрочная задолженность фирмы составляет 500 тыс. руб.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и не меняется со временем в обоих вариантах.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А. Продажа недвижимости и оборудования с вероятной выручкой от этого на сумму в 900 тыс. руб.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Б. В течение того же времени освоение новой имеющей спрос продукции и получение от продаж чистой прибыли в 800 тыс. руб.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При этом необходимые для освоения продукции инвестиции равны 200 тыс. руб. и финансируются из выручки от продаж избыточных для выпуска данной продукции недвижимости и оборудования.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Примечание. Оба варианта позволяют пополнить собственные оборотные средства предприятия.</w:t>
      </w:r>
    </w:p>
    <w:p w:rsidR="00552533" w:rsidRPr="00CE1F0A" w:rsidRDefault="00552533" w:rsidP="00552533">
      <w:pPr>
        <w:pStyle w:val="1"/>
        <w:spacing w:line="360" w:lineRule="auto"/>
        <w:rPr>
          <w:b/>
          <w:i/>
          <w:color w:val="auto"/>
          <w:sz w:val="28"/>
          <w:szCs w:val="28"/>
        </w:rPr>
      </w:pPr>
    </w:p>
    <w:p w:rsidR="00552533" w:rsidRPr="00CE1F0A" w:rsidRDefault="00552533" w:rsidP="00552533">
      <w:pPr>
        <w:pStyle w:val="1"/>
        <w:spacing w:line="360" w:lineRule="auto"/>
        <w:ind w:firstLine="708"/>
        <w:rPr>
          <w:b/>
          <w:i/>
          <w:color w:val="auto"/>
          <w:sz w:val="28"/>
          <w:szCs w:val="28"/>
        </w:rPr>
      </w:pPr>
      <w:r w:rsidRPr="00CE1F0A">
        <w:rPr>
          <w:b/>
          <w:i/>
          <w:color w:val="auto"/>
          <w:sz w:val="28"/>
          <w:szCs w:val="28"/>
        </w:rPr>
        <w:t>Решение:</w:t>
      </w:r>
    </w:p>
    <w:p w:rsidR="00552533" w:rsidRPr="00CE1F0A" w:rsidRDefault="00552533" w:rsidP="00552533">
      <w:pPr>
        <w:pStyle w:val="1"/>
        <w:spacing w:line="360" w:lineRule="auto"/>
        <w:ind w:firstLine="708"/>
        <w:rPr>
          <w:b/>
          <w:color w:val="auto"/>
          <w:sz w:val="28"/>
          <w:szCs w:val="28"/>
        </w:rPr>
      </w:pPr>
      <w:r w:rsidRPr="00CE1F0A">
        <w:rPr>
          <w:color w:val="auto"/>
          <w:sz w:val="28"/>
          <w:szCs w:val="28"/>
        </w:rPr>
        <w:t>Оба варианта позволяют пополнить собственные оборотные средства предприятия.</w:t>
      </w:r>
    </w:p>
    <w:p w:rsidR="00552533" w:rsidRPr="00CE1F0A" w:rsidRDefault="00552533" w:rsidP="00552533">
      <w:pPr>
        <w:spacing w:line="360" w:lineRule="auto"/>
        <w:ind w:firstLine="72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1F0A">
        <w:rPr>
          <w:rFonts w:ascii="Times New Roman" w:hAnsi="Times New Roman" w:cs="Times New Roman"/>
          <w:b/>
          <w:bCs/>
          <w:i/>
          <w:sz w:val="28"/>
          <w:szCs w:val="28"/>
        </w:rPr>
        <w:t>Вариант</w:t>
      </w:r>
      <w:proofErr w:type="gramStart"/>
      <w:r w:rsidRPr="00CE1F0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А</w:t>
      </w:r>
      <w:proofErr w:type="gramEnd"/>
      <w:r w:rsidRPr="00CE1F0A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>Коэффициент текущей ликвидности находится по формуле:</w: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2533" w:rsidRPr="00CE1F0A" w:rsidRDefault="00552533" w:rsidP="00552533">
      <w:pPr>
        <w:pStyle w:val="11"/>
        <w:spacing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CE1F0A">
        <w:rPr>
          <w:rFonts w:ascii="Times New Roman" w:hAnsi="Times New Roman"/>
          <w:b/>
          <w:bCs/>
          <w:position w:val="-32"/>
          <w:sz w:val="28"/>
          <w:szCs w:val="28"/>
        </w:rPr>
        <w:object w:dxaOrig="44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35.25pt" o:ole="">
            <v:imagedata r:id="rId7" o:title=""/>
          </v:shape>
          <o:OLEObject Type="Embed" ProgID="Equation.3" ShapeID="_x0000_i1025" DrawAspect="Content" ObjectID="_1447512576" r:id="rId8"/>
        </w:object>
      </w:r>
    </w:p>
    <w:p w:rsidR="00552533" w:rsidRPr="00CE1F0A" w:rsidRDefault="00552533" w:rsidP="00552533">
      <w:pPr>
        <w:pStyle w:val="10"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CE1F0A">
        <w:rPr>
          <w:i/>
          <w:sz w:val="28"/>
          <w:szCs w:val="28"/>
        </w:rPr>
        <w:t>КО</w:t>
      </w:r>
      <w:r w:rsidRPr="00CE1F0A">
        <w:rPr>
          <w:sz w:val="28"/>
          <w:szCs w:val="28"/>
        </w:rPr>
        <w:t xml:space="preserve"> = 500 000</w:t>
      </w:r>
    </w:p>
    <w:p w:rsidR="00552533" w:rsidRPr="00CE1F0A" w:rsidRDefault="00552533" w:rsidP="00552533">
      <w:pPr>
        <w:pStyle w:val="10"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CE1F0A">
        <w:rPr>
          <w:i/>
          <w:sz w:val="28"/>
          <w:szCs w:val="28"/>
        </w:rPr>
        <w:lastRenderedPageBreak/>
        <w:t>К</w:t>
      </w:r>
      <w:r w:rsidRPr="00CE1F0A">
        <w:rPr>
          <w:i/>
          <w:sz w:val="28"/>
          <w:szCs w:val="28"/>
          <w:vertAlign w:val="subscript"/>
        </w:rPr>
        <w:t>тек</w:t>
      </w:r>
      <w:proofErr w:type="spellEnd"/>
      <w:r w:rsidRPr="00CE1F0A">
        <w:rPr>
          <w:i/>
          <w:sz w:val="28"/>
          <w:szCs w:val="28"/>
          <w:vertAlign w:val="subscript"/>
        </w:rPr>
        <w:t xml:space="preserve"> </w:t>
      </w:r>
      <w:proofErr w:type="spellStart"/>
      <w:r w:rsidRPr="00CE1F0A">
        <w:rPr>
          <w:i/>
          <w:sz w:val="28"/>
          <w:szCs w:val="28"/>
          <w:vertAlign w:val="subscript"/>
        </w:rPr>
        <w:t>ликв</w:t>
      </w:r>
      <w:proofErr w:type="spellEnd"/>
      <w:r w:rsidRPr="00CE1F0A">
        <w:rPr>
          <w:i/>
          <w:sz w:val="28"/>
          <w:szCs w:val="28"/>
          <w:vertAlign w:val="subscript"/>
        </w:rPr>
        <w:t xml:space="preserve"> </w:t>
      </w:r>
      <w:proofErr w:type="spellStart"/>
      <w:r w:rsidRPr="00CE1F0A">
        <w:rPr>
          <w:i/>
          <w:sz w:val="28"/>
          <w:szCs w:val="28"/>
          <w:vertAlign w:val="subscript"/>
        </w:rPr>
        <w:t>нач</w:t>
      </w:r>
      <w:proofErr w:type="spellEnd"/>
      <w:r w:rsidRPr="00CE1F0A">
        <w:rPr>
          <w:i/>
          <w:sz w:val="28"/>
          <w:szCs w:val="28"/>
          <w:vertAlign w:val="subscript"/>
        </w:rPr>
        <w:t xml:space="preserve"> </w:t>
      </w:r>
      <w:r w:rsidRPr="00CE1F0A">
        <w:rPr>
          <w:i/>
          <w:sz w:val="28"/>
          <w:szCs w:val="28"/>
        </w:rPr>
        <w:t>=</w:t>
      </w:r>
      <w:r w:rsidRPr="00CE1F0A">
        <w:rPr>
          <w:sz w:val="28"/>
          <w:szCs w:val="28"/>
        </w:rPr>
        <w:t>0,7</w:t>
      </w:r>
    </w:p>
    <w:p w:rsidR="00552533" w:rsidRPr="00CE1F0A" w:rsidRDefault="00552533" w:rsidP="00552533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ab/>
        <w:t>Найдем оборотные активы на начало периода:</w:t>
      </w:r>
    </w:p>
    <w:p w:rsidR="00552533" w:rsidRPr="00CE1F0A" w:rsidRDefault="00552533" w:rsidP="00552533">
      <w:pPr>
        <w:pStyle w:val="11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52533" w:rsidRPr="00CE1F0A" w:rsidRDefault="00552533" w:rsidP="00552533">
      <w:pPr>
        <w:pStyle w:val="11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position w:val="-16"/>
          <w:sz w:val="28"/>
          <w:szCs w:val="28"/>
        </w:rPr>
        <w:object w:dxaOrig="4340" w:dyaOrig="400">
          <v:shape id="_x0000_i1026" type="#_x0000_t75" style="width:255.75pt;height:23.25pt" o:ole="">
            <v:imagedata r:id="rId9" o:title=""/>
          </v:shape>
          <o:OLEObject Type="Embed" ProgID="Equation.3" ShapeID="_x0000_i1026" DrawAspect="Content" ObjectID="_1447512577" r:id="rId10"/>
        </w:object>
      </w:r>
      <w:r w:rsidRPr="00CE1F0A">
        <w:rPr>
          <w:rFonts w:ascii="Times New Roman" w:hAnsi="Times New Roman"/>
          <w:sz w:val="28"/>
          <w:szCs w:val="28"/>
        </w:rPr>
        <w:t xml:space="preserve"> руб.</w:t>
      </w:r>
    </w:p>
    <w:p w:rsidR="00552533" w:rsidRPr="00047F8B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>По условию задачи недвижимость и оборудование проданы на сумму 900 000.</w:t>
      </w:r>
    </w:p>
    <w:p w:rsidR="00552533" w:rsidRPr="00CE1F0A" w:rsidRDefault="00552533" w:rsidP="00552533">
      <w:pPr>
        <w:pStyle w:val="11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ab/>
        <w:t>Найдем оборотные активы и коэффициент текущей ликвидности на конец периода:</w:t>
      </w:r>
    </w:p>
    <w:p w:rsidR="00552533" w:rsidRPr="00CE1F0A" w:rsidRDefault="00552533" w:rsidP="00552533">
      <w:pPr>
        <w:pStyle w:val="11"/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i/>
          <w:sz w:val="28"/>
          <w:szCs w:val="28"/>
        </w:rPr>
        <w:t>АО</w:t>
      </w:r>
      <w:r w:rsidRPr="00CE1F0A">
        <w:rPr>
          <w:rFonts w:ascii="Times New Roman" w:hAnsi="Times New Roman"/>
          <w:sz w:val="28"/>
          <w:szCs w:val="28"/>
        </w:rPr>
        <w:t xml:space="preserve"> = 350 000 + 900 000 = 1 250 000 руб.</w:t>
      </w:r>
    </w:p>
    <w:p w:rsidR="00552533" w:rsidRPr="00CE1F0A" w:rsidRDefault="00552533" w:rsidP="00552533">
      <w:pPr>
        <w:pStyle w:val="11"/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b/>
          <w:bCs/>
          <w:position w:val="-24"/>
          <w:sz w:val="28"/>
          <w:szCs w:val="28"/>
        </w:rPr>
        <w:object w:dxaOrig="2480" w:dyaOrig="620">
          <v:shape id="_x0000_i1027" type="#_x0000_t75" style="width:138pt;height:34.5pt" o:ole="">
            <v:imagedata r:id="rId11" o:title=""/>
          </v:shape>
          <o:OLEObject Type="Embed" ProgID="Equation.3" ShapeID="_x0000_i1027" DrawAspect="Content" ObjectID="_1447512578" r:id="rId12"/>
        </w:objec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>Найдем коэффициент восстановления платежеспособности:</w:t>
      </w:r>
    </w:p>
    <w:p w:rsidR="00552533" w:rsidRPr="00CE1F0A" w:rsidRDefault="00552533" w:rsidP="00552533">
      <w:pPr>
        <w:pStyle w:val="11"/>
        <w:spacing w:line="360" w:lineRule="auto"/>
        <w:jc w:val="center"/>
        <w:rPr>
          <w:rFonts w:ascii="Times New Roman" w:hAnsi="Times New Roman"/>
          <w:position w:val="-24"/>
          <w:sz w:val="28"/>
          <w:szCs w:val="28"/>
        </w:rPr>
      </w:pPr>
      <w:r w:rsidRPr="00CE1F0A">
        <w:rPr>
          <w:rFonts w:ascii="Times New Roman" w:hAnsi="Times New Roman"/>
          <w:position w:val="-24"/>
          <w:sz w:val="28"/>
          <w:szCs w:val="28"/>
        </w:rPr>
        <w:object w:dxaOrig="7200" w:dyaOrig="900">
          <v:shape id="_x0000_i1028" type="#_x0000_t75" style="width:5in;height:45pt" o:ole="">
            <v:imagedata r:id="rId13" o:title=""/>
          </v:shape>
          <o:OLEObject Type="Embed" ProgID="Equation.3" ShapeID="_x0000_i1028" DrawAspect="Content" ObjectID="_1447512579" r:id="rId14"/>
        </w:objec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1F0A">
        <w:rPr>
          <w:rFonts w:ascii="Times New Roman" w:hAnsi="Times New Roman"/>
          <w:i/>
          <w:sz w:val="28"/>
          <w:szCs w:val="28"/>
        </w:rPr>
        <w:t>К</w:t>
      </w:r>
      <w:r w:rsidRPr="00CE1F0A">
        <w:rPr>
          <w:rFonts w:ascii="Times New Roman" w:hAnsi="Times New Roman"/>
          <w:i/>
          <w:sz w:val="28"/>
          <w:szCs w:val="28"/>
          <w:vertAlign w:val="subscript"/>
        </w:rPr>
        <w:t>тек</w:t>
      </w:r>
      <w:proofErr w:type="spellEnd"/>
      <w:r w:rsidRPr="00CE1F0A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proofErr w:type="spellStart"/>
      <w:r w:rsidRPr="00CE1F0A">
        <w:rPr>
          <w:rFonts w:ascii="Times New Roman" w:hAnsi="Times New Roman"/>
          <w:i/>
          <w:sz w:val="28"/>
          <w:szCs w:val="28"/>
          <w:vertAlign w:val="subscript"/>
        </w:rPr>
        <w:t>ликв</w:t>
      </w:r>
      <w:proofErr w:type="spellEnd"/>
      <w:r w:rsidRPr="00CE1F0A">
        <w:rPr>
          <w:rFonts w:ascii="Times New Roman" w:hAnsi="Times New Roman"/>
          <w:i/>
          <w:sz w:val="28"/>
          <w:szCs w:val="28"/>
          <w:vertAlign w:val="subscript"/>
        </w:rPr>
        <w:t xml:space="preserve"> кон</w:t>
      </w:r>
      <w:r w:rsidRPr="00CE1F0A">
        <w:rPr>
          <w:rFonts w:ascii="Times New Roman" w:hAnsi="Times New Roman"/>
          <w:i/>
          <w:sz w:val="28"/>
          <w:szCs w:val="28"/>
        </w:rPr>
        <w:t xml:space="preserve"> </w:t>
      </w:r>
      <w:r w:rsidRPr="00CE1F0A">
        <w:rPr>
          <w:rFonts w:ascii="Times New Roman" w:hAnsi="Times New Roman"/>
          <w:sz w:val="28"/>
          <w:szCs w:val="28"/>
        </w:rPr>
        <w:t xml:space="preserve">– коэффициент текущей ликвидности на конец периода </w: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E1F0A">
        <w:rPr>
          <w:rFonts w:ascii="Times New Roman" w:hAnsi="Times New Roman"/>
          <w:i/>
          <w:sz w:val="28"/>
          <w:szCs w:val="28"/>
        </w:rPr>
        <w:t>К</w:t>
      </w:r>
      <w:r w:rsidRPr="00CE1F0A">
        <w:rPr>
          <w:rFonts w:ascii="Times New Roman" w:hAnsi="Times New Roman"/>
          <w:i/>
          <w:sz w:val="28"/>
          <w:szCs w:val="28"/>
          <w:vertAlign w:val="subscript"/>
        </w:rPr>
        <w:t>тек</w:t>
      </w:r>
      <w:proofErr w:type="spellEnd"/>
      <w:r w:rsidRPr="00CE1F0A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proofErr w:type="spellStart"/>
      <w:r w:rsidRPr="00CE1F0A">
        <w:rPr>
          <w:rFonts w:ascii="Times New Roman" w:hAnsi="Times New Roman"/>
          <w:i/>
          <w:sz w:val="28"/>
          <w:szCs w:val="28"/>
          <w:vertAlign w:val="subscript"/>
        </w:rPr>
        <w:t>ликв</w:t>
      </w:r>
      <w:proofErr w:type="spellEnd"/>
      <w:r w:rsidRPr="00CE1F0A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proofErr w:type="spellStart"/>
      <w:r w:rsidRPr="00CE1F0A">
        <w:rPr>
          <w:rFonts w:ascii="Times New Roman" w:hAnsi="Times New Roman"/>
          <w:i/>
          <w:sz w:val="28"/>
          <w:szCs w:val="28"/>
          <w:vertAlign w:val="subscript"/>
        </w:rPr>
        <w:t>нач</w:t>
      </w:r>
      <w:proofErr w:type="spellEnd"/>
      <w:r w:rsidRPr="00CE1F0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CE1F0A">
        <w:rPr>
          <w:rFonts w:ascii="Times New Roman" w:hAnsi="Times New Roman"/>
          <w:sz w:val="28"/>
          <w:szCs w:val="28"/>
        </w:rPr>
        <w:t xml:space="preserve">- коэффициент текущей ликвидности на начало периода </w: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E1F0A">
        <w:rPr>
          <w:rFonts w:ascii="Times New Roman" w:hAnsi="Times New Roman"/>
          <w:i/>
          <w:sz w:val="28"/>
          <w:szCs w:val="28"/>
        </w:rPr>
        <w:t>Т-</w:t>
      </w:r>
      <w:proofErr w:type="gramEnd"/>
      <w:r w:rsidRPr="00CE1F0A">
        <w:rPr>
          <w:rFonts w:ascii="Times New Roman" w:hAnsi="Times New Roman"/>
          <w:i/>
          <w:sz w:val="28"/>
          <w:szCs w:val="28"/>
        </w:rPr>
        <w:t xml:space="preserve"> </w:t>
      </w:r>
      <w:r w:rsidRPr="00CE1F0A">
        <w:rPr>
          <w:rFonts w:ascii="Times New Roman" w:hAnsi="Times New Roman"/>
          <w:sz w:val="28"/>
          <w:szCs w:val="28"/>
        </w:rPr>
        <w:t xml:space="preserve">период расчета (3мес, 6 </w:t>
      </w:r>
      <w:proofErr w:type="spellStart"/>
      <w:r w:rsidRPr="00CE1F0A">
        <w:rPr>
          <w:rFonts w:ascii="Times New Roman" w:hAnsi="Times New Roman"/>
          <w:sz w:val="28"/>
          <w:szCs w:val="28"/>
        </w:rPr>
        <w:t>мес</w:t>
      </w:r>
      <w:proofErr w:type="spellEnd"/>
      <w:r w:rsidRPr="00CE1F0A">
        <w:rPr>
          <w:rFonts w:ascii="Times New Roman" w:hAnsi="Times New Roman"/>
          <w:sz w:val="28"/>
          <w:szCs w:val="28"/>
        </w:rPr>
        <w:t xml:space="preserve">, 9 </w:t>
      </w:r>
      <w:proofErr w:type="spellStart"/>
      <w:r w:rsidRPr="00CE1F0A">
        <w:rPr>
          <w:rFonts w:ascii="Times New Roman" w:hAnsi="Times New Roman"/>
          <w:sz w:val="28"/>
          <w:szCs w:val="28"/>
        </w:rPr>
        <w:t>мес</w:t>
      </w:r>
      <w:proofErr w:type="spellEnd"/>
      <w:r w:rsidRPr="00CE1F0A">
        <w:rPr>
          <w:rFonts w:ascii="Times New Roman" w:hAnsi="Times New Roman"/>
          <w:sz w:val="28"/>
          <w:szCs w:val="28"/>
        </w:rPr>
        <w:t xml:space="preserve">, 12 </w:t>
      </w:r>
      <w:proofErr w:type="spellStart"/>
      <w:r w:rsidRPr="00CE1F0A">
        <w:rPr>
          <w:rFonts w:ascii="Times New Roman" w:hAnsi="Times New Roman"/>
          <w:sz w:val="28"/>
          <w:szCs w:val="28"/>
        </w:rPr>
        <w:t>мес</w:t>
      </w:r>
      <w:proofErr w:type="spellEnd"/>
      <w:r w:rsidRPr="00CE1F0A">
        <w:rPr>
          <w:rFonts w:ascii="Times New Roman" w:hAnsi="Times New Roman"/>
          <w:sz w:val="28"/>
          <w:szCs w:val="28"/>
        </w:rPr>
        <w:t>)</w:t>
      </w:r>
    </w:p>
    <w:p w:rsidR="00552533" w:rsidRPr="00CE1F0A" w:rsidRDefault="00552533" w:rsidP="00552533">
      <w:pPr>
        <w:pStyle w:val="1"/>
        <w:spacing w:line="360" w:lineRule="auto"/>
        <w:ind w:firstLine="708"/>
        <w:rPr>
          <w:color w:val="auto"/>
          <w:sz w:val="28"/>
          <w:szCs w:val="28"/>
        </w:rPr>
      </w:pPr>
      <w:r w:rsidRPr="00CE1F0A">
        <w:rPr>
          <w:i/>
          <w:iCs/>
          <w:color w:val="auto"/>
          <w:sz w:val="28"/>
          <w:szCs w:val="28"/>
        </w:rPr>
        <w:t>Вариант А</w:t>
      </w:r>
      <w:r w:rsidRPr="00CE1F0A">
        <w:rPr>
          <w:color w:val="auto"/>
          <w:sz w:val="28"/>
          <w:szCs w:val="28"/>
        </w:rPr>
        <w:t xml:space="preserve">. Обещает увеличение собственных оборотных средств на </w:t>
      </w:r>
      <w:r w:rsidRPr="00CE1F0A">
        <w:rPr>
          <w:b/>
          <w:color w:val="auto"/>
          <w:sz w:val="28"/>
          <w:szCs w:val="28"/>
        </w:rPr>
        <w:t>900 000</w:t>
      </w:r>
      <w:r w:rsidRPr="00CE1F0A">
        <w:rPr>
          <w:color w:val="auto"/>
          <w:sz w:val="28"/>
          <w:szCs w:val="28"/>
        </w:rPr>
        <w:t xml:space="preserve"> руб., что повысит коэффициент текущей ликвидности на </w:t>
      </w:r>
      <w:r w:rsidRPr="00CE1F0A">
        <w:rPr>
          <w:b/>
          <w:color w:val="auto"/>
          <w:sz w:val="28"/>
          <w:szCs w:val="28"/>
        </w:rPr>
        <w:t>1,8</w:t>
      </w:r>
      <w:r w:rsidRPr="00CE1F0A">
        <w:rPr>
          <w:color w:val="auto"/>
          <w:sz w:val="28"/>
          <w:szCs w:val="28"/>
        </w:rPr>
        <w:t xml:space="preserve">, доведя его до </w:t>
      </w:r>
      <w:r w:rsidRPr="00CE1F0A">
        <w:rPr>
          <w:b/>
          <w:color w:val="auto"/>
          <w:sz w:val="28"/>
          <w:szCs w:val="28"/>
        </w:rPr>
        <w:t>2,5</w:t>
      </w:r>
      <w:r w:rsidRPr="00CE1F0A">
        <w:rPr>
          <w:color w:val="auto"/>
          <w:sz w:val="28"/>
          <w:szCs w:val="28"/>
        </w:rPr>
        <w:t xml:space="preserve">. Эта величина с точки зрения Федеральной службы России по финансовому оздоровлению и банкротству достаточна и позволяет сделать вывод об </w:t>
      </w:r>
      <w:proofErr w:type="spellStart"/>
      <w:r w:rsidRPr="00CE1F0A">
        <w:rPr>
          <w:color w:val="auto"/>
          <w:sz w:val="28"/>
          <w:szCs w:val="28"/>
        </w:rPr>
        <w:t>избежании</w:t>
      </w:r>
      <w:proofErr w:type="spellEnd"/>
      <w:r w:rsidRPr="00CE1F0A">
        <w:rPr>
          <w:color w:val="auto"/>
          <w:sz w:val="28"/>
          <w:szCs w:val="28"/>
        </w:rPr>
        <w:t xml:space="preserve"> угрозы банкротства.</w:t>
      </w:r>
    </w:p>
    <w:p w:rsidR="00552533" w:rsidRPr="00CE1F0A" w:rsidRDefault="00552533" w:rsidP="00552533">
      <w:pPr>
        <w:pStyle w:val="1"/>
        <w:spacing w:line="360" w:lineRule="auto"/>
        <w:ind w:firstLine="708"/>
        <w:rPr>
          <w:color w:val="auto"/>
          <w:sz w:val="28"/>
          <w:szCs w:val="28"/>
        </w:rPr>
      </w:pP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CE1F0A">
        <w:rPr>
          <w:rFonts w:ascii="Times New Roman" w:hAnsi="Times New Roman"/>
          <w:b/>
          <w:i/>
          <w:iCs/>
          <w:sz w:val="28"/>
          <w:szCs w:val="28"/>
        </w:rPr>
        <w:t>Вариант</w:t>
      </w:r>
      <w:proofErr w:type="gramStart"/>
      <w:r w:rsidRPr="00CE1F0A">
        <w:rPr>
          <w:rFonts w:ascii="Times New Roman" w:hAnsi="Times New Roman"/>
          <w:b/>
          <w:i/>
          <w:iCs/>
          <w:sz w:val="28"/>
          <w:szCs w:val="28"/>
        </w:rPr>
        <w:t xml:space="preserve"> Б</w:t>
      </w:r>
      <w:proofErr w:type="gramEnd"/>
      <w:r w:rsidRPr="00CE1F0A">
        <w:rPr>
          <w:rFonts w:ascii="Times New Roman" w:hAnsi="Times New Roman"/>
          <w:b/>
          <w:i/>
          <w:iCs/>
          <w:sz w:val="28"/>
          <w:szCs w:val="28"/>
        </w:rPr>
        <w:t>:</w: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 xml:space="preserve">По условию задачи получена чистая прибыль в 800 000 руб., при этом необходимые инвестиции равны 200 000 руб. и финансируются из выручки от продаж избыточных для выпуска данной продукции недвижимости и оборудования. </w: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>Найдем коэффициент текущей ликвидности:</w:t>
      </w:r>
    </w:p>
    <w:p w:rsidR="00552533" w:rsidRPr="00CE1F0A" w:rsidRDefault="00552533" w:rsidP="00552533">
      <w:pPr>
        <w:pStyle w:val="11"/>
        <w:spacing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CE1F0A">
        <w:rPr>
          <w:rFonts w:ascii="Times New Roman" w:hAnsi="Times New Roman"/>
          <w:b/>
          <w:bCs/>
          <w:position w:val="-32"/>
          <w:sz w:val="28"/>
          <w:szCs w:val="28"/>
        </w:rPr>
        <w:object w:dxaOrig="4440" w:dyaOrig="700">
          <v:shape id="_x0000_i1029" type="#_x0000_t75" style="width:222pt;height:35.25pt" o:ole="">
            <v:imagedata r:id="rId7" o:title=""/>
          </v:shape>
          <o:OLEObject Type="Embed" ProgID="Equation.3" ShapeID="_x0000_i1029" DrawAspect="Content" ObjectID="_1447512580" r:id="rId15"/>
        </w:object>
      </w:r>
    </w:p>
    <w:p w:rsidR="00552533" w:rsidRPr="00CE1F0A" w:rsidRDefault="00552533" w:rsidP="00552533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52533" w:rsidRPr="00CE1F0A" w:rsidRDefault="00552533" w:rsidP="00552533">
      <w:pPr>
        <w:pStyle w:val="11"/>
        <w:spacing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CE1F0A">
        <w:rPr>
          <w:rFonts w:ascii="Times New Roman" w:hAnsi="Times New Roman"/>
          <w:b/>
          <w:bCs/>
          <w:position w:val="-24"/>
          <w:sz w:val="28"/>
          <w:szCs w:val="28"/>
        </w:rPr>
        <w:object w:dxaOrig="4200" w:dyaOrig="620">
          <v:shape id="_x0000_i1030" type="#_x0000_t75" style="width:210pt;height:30.75pt" o:ole="">
            <v:imagedata r:id="rId16" o:title=""/>
          </v:shape>
          <o:OLEObject Type="Embed" ProgID="Equation.3" ShapeID="_x0000_i1030" DrawAspect="Content" ObjectID="_1447512581" r:id="rId17"/>
        </w:object>
      </w:r>
    </w:p>
    <w:p w:rsidR="00552533" w:rsidRPr="00CE1F0A" w:rsidRDefault="00552533" w:rsidP="00552533">
      <w:pPr>
        <w:pStyle w:val="11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sz w:val="28"/>
          <w:szCs w:val="28"/>
        </w:rPr>
        <w:t>Найдем коэффициент восстановления платежеспособности:</w:t>
      </w:r>
    </w:p>
    <w:p w:rsidR="00552533" w:rsidRPr="00CE1F0A" w:rsidRDefault="00552533" w:rsidP="00552533">
      <w:pPr>
        <w:pStyle w:val="11"/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E1F0A">
        <w:rPr>
          <w:rFonts w:ascii="Times New Roman" w:hAnsi="Times New Roman"/>
          <w:position w:val="-24"/>
          <w:sz w:val="28"/>
          <w:szCs w:val="28"/>
        </w:rPr>
        <w:object w:dxaOrig="3040" w:dyaOrig="900">
          <v:shape id="_x0000_i1031" type="#_x0000_t75" style="width:152.25pt;height:45pt" o:ole="">
            <v:imagedata r:id="rId18" o:title=""/>
          </v:shape>
          <o:OLEObject Type="Embed" ProgID="Equation.3" ShapeID="_x0000_i1031" DrawAspect="Content" ObjectID="_1447512582" r:id="rId19"/>
        </w:object>
      </w:r>
    </w:p>
    <w:p w:rsidR="00552533" w:rsidRPr="00CE1F0A" w:rsidRDefault="00552533" w:rsidP="00552533">
      <w:pPr>
        <w:pStyle w:val="1"/>
        <w:spacing w:line="360" w:lineRule="auto"/>
        <w:ind w:firstLine="708"/>
        <w:rPr>
          <w:color w:val="auto"/>
          <w:sz w:val="28"/>
          <w:szCs w:val="28"/>
        </w:rPr>
      </w:pPr>
      <w:r w:rsidRPr="00CE1F0A">
        <w:rPr>
          <w:i/>
          <w:iCs/>
          <w:color w:val="auto"/>
          <w:sz w:val="28"/>
          <w:szCs w:val="28"/>
        </w:rPr>
        <w:t>Вариант Б</w:t>
      </w:r>
      <w:r w:rsidRPr="00CE1F0A">
        <w:rPr>
          <w:color w:val="auto"/>
          <w:sz w:val="28"/>
          <w:szCs w:val="28"/>
        </w:rPr>
        <w:t xml:space="preserve">. Позволяет увеличить коэффициент текущей ликвидности предприятия за счет капитализации дополнительной чистой прибыли до 1,9, что меньше, чем в варианте </w:t>
      </w:r>
      <w:proofErr w:type="gramStart"/>
      <w:r w:rsidRPr="00CE1F0A">
        <w:rPr>
          <w:color w:val="auto"/>
          <w:sz w:val="28"/>
          <w:szCs w:val="28"/>
        </w:rPr>
        <w:t>А.</w:t>
      </w:r>
      <w:proofErr w:type="gramEnd"/>
      <w:r w:rsidRPr="00CE1F0A">
        <w:rPr>
          <w:color w:val="auto"/>
          <w:sz w:val="28"/>
          <w:szCs w:val="28"/>
        </w:rPr>
        <w:t xml:space="preserve"> Однако появление в этом варианте потока дополнительной прибыли не позволяет повысить коэффициент платежеспособности предприятия, а также рассчитывать на то, что арбитражный суд не вынесет постановления о банкротстве.</w:t>
      </w:r>
    </w:p>
    <w:p w:rsidR="00552533" w:rsidRPr="00CE1F0A" w:rsidRDefault="00552533" w:rsidP="00552533">
      <w:pPr>
        <w:pStyle w:val="1"/>
        <w:spacing w:line="360" w:lineRule="auto"/>
        <w:rPr>
          <w:color w:val="auto"/>
          <w:sz w:val="28"/>
          <w:szCs w:val="28"/>
        </w:rPr>
      </w:pPr>
      <w:r w:rsidRPr="00CE1F0A">
        <w:rPr>
          <w:color w:val="auto"/>
          <w:sz w:val="28"/>
          <w:szCs w:val="28"/>
        </w:rPr>
        <w:tab/>
        <w:t>Таким образом вариант</w:t>
      </w:r>
      <w:proofErr w:type="gramStart"/>
      <w:r w:rsidRPr="00CE1F0A">
        <w:rPr>
          <w:color w:val="auto"/>
          <w:sz w:val="28"/>
          <w:szCs w:val="28"/>
        </w:rPr>
        <w:t xml:space="preserve"> А</w:t>
      </w:r>
      <w:proofErr w:type="gramEnd"/>
      <w:r w:rsidRPr="00CE1F0A">
        <w:rPr>
          <w:color w:val="auto"/>
          <w:sz w:val="28"/>
          <w:szCs w:val="28"/>
        </w:rPr>
        <w:t xml:space="preserve"> более выгоден.</w:t>
      </w:r>
    </w:p>
    <w:p w:rsidR="008139AB" w:rsidRPr="00CE1F0A" w:rsidRDefault="008139AB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A40CA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1F369D" w:rsidRDefault="00552533" w:rsidP="002854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435" w:rsidRPr="001F369D" w:rsidRDefault="00285435" w:rsidP="002854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CE1F0A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F0A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CE1F0A" w:rsidRPr="00CE1F0A" w:rsidRDefault="00552533" w:rsidP="00CE1F0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F0A">
        <w:rPr>
          <w:rFonts w:ascii="Times New Roman" w:hAnsi="Times New Roman" w:cs="Times New Roman"/>
          <w:sz w:val="28"/>
          <w:szCs w:val="28"/>
        </w:rPr>
        <w:t>Галиаскаров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Ф.М., </w:t>
      </w:r>
      <w:proofErr w:type="spellStart"/>
      <w:r w:rsidRPr="00CE1F0A">
        <w:rPr>
          <w:rFonts w:ascii="Times New Roman" w:hAnsi="Times New Roman" w:cs="Times New Roman"/>
          <w:sz w:val="28"/>
          <w:szCs w:val="28"/>
        </w:rPr>
        <w:t>Мозалев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CE1F0A">
        <w:rPr>
          <w:rFonts w:ascii="Times New Roman" w:hAnsi="Times New Roman" w:cs="Times New Roman"/>
          <w:sz w:val="28"/>
          <w:szCs w:val="28"/>
        </w:rPr>
        <w:t>Сагатгареев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Р.М. Теория финансового менеджмента: Учебное пособие. - М.: Вузовский учебник, 2008. – 192с.</w:t>
      </w:r>
      <w:r w:rsidR="00CE1F0A" w:rsidRPr="00CE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F0A" w:rsidRPr="00CE1F0A" w:rsidRDefault="00CE1F0A" w:rsidP="00CE1F0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1F0A">
        <w:rPr>
          <w:rFonts w:ascii="Times New Roman" w:hAnsi="Times New Roman" w:cs="Times New Roman"/>
          <w:sz w:val="28"/>
          <w:szCs w:val="28"/>
        </w:rPr>
        <w:t>Демчук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 xml:space="preserve"> О.Н., Ефремова Т.А.. Антикризисное управление : учеб. пособие</w:t>
      </w:r>
      <w:proofErr w:type="gramStart"/>
      <w:r w:rsidRPr="00CE1F0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E1F0A">
        <w:rPr>
          <w:rFonts w:ascii="Times New Roman" w:hAnsi="Times New Roman" w:cs="Times New Roman"/>
          <w:sz w:val="28"/>
          <w:szCs w:val="28"/>
        </w:rPr>
        <w:t xml:space="preserve"> — М.: Флинта : МПСИ. — 256 с., 2009 с. 156 (Реструктуризация долгов и обязательств организации)</w:t>
      </w:r>
    </w:p>
    <w:p w:rsidR="00CE1F0A" w:rsidRPr="00CE1F0A" w:rsidRDefault="00CE1F0A" w:rsidP="00CE1F0A">
      <w:pPr>
        <w:pStyle w:val="10"/>
        <w:numPr>
          <w:ilvl w:val="0"/>
          <w:numId w:val="3"/>
        </w:numPr>
        <w:suppressAutoHyphens/>
        <w:spacing w:line="360" w:lineRule="auto"/>
        <w:rPr>
          <w:sz w:val="28"/>
          <w:szCs w:val="28"/>
        </w:rPr>
      </w:pPr>
      <w:r w:rsidRPr="00CE1F0A">
        <w:rPr>
          <w:sz w:val="28"/>
          <w:szCs w:val="28"/>
        </w:rPr>
        <w:t xml:space="preserve">Ковалев В.В. Финансовый менеджмент: теория и практика. – 2-е изд., </w:t>
      </w:r>
      <w:proofErr w:type="spellStart"/>
      <w:r w:rsidRPr="00CE1F0A">
        <w:rPr>
          <w:sz w:val="28"/>
          <w:szCs w:val="28"/>
        </w:rPr>
        <w:t>перераб</w:t>
      </w:r>
      <w:proofErr w:type="spellEnd"/>
      <w:r w:rsidRPr="00CE1F0A">
        <w:rPr>
          <w:sz w:val="28"/>
          <w:szCs w:val="28"/>
        </w:rPr>
        <w:t xml:space="preserve">. И доп. – М.: Изд-во Проспект, 2009. – 1024 </w:t>
      </w:r>
      <w:proofErr w:type="gramStart"/>
      <w:r w:rsidRPr="00CE1F0A">
        <w:rPr>
          <w:sz w:val="28"/>
          <w:szCs w:val="28"/>
        </w:rPr>
        <w:t>с</w:t>
      </w:r>
      <w:proofErr w:type="gramEnd"/>
      <w:r w:rsidRPr="00CE1F0A">
        <w:rPr>
          <w:sz w:val="28"/>
          <w:szCs w:val="28"/>
        </w:rPr>
        <w:t>.</w:t>
      </w:r>
    </w:p>
    <w:p w:rsidR="00CE1F0A" w:rsidRPr="00CE1F0A" w:rsidRDefault="00CE1F0A" w:rsidP="00CE1F0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Таль Г.К. Антикризисное управление: В 2 томах том 2: Экономические основы. – М.: ИНФРА-М, 2007. – 1126с.</w:t>
      </w:r>
    </w:p>
    <w:p w:rsidR="00CE1F0A" w:rsidRPr="00CE1F0A" w:rsidRDefault="00CE1F0A" w:rsidP="00CE1F0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CE1F0A" w:rsidRPr="00CE1F0A" w:rsidRDefault="00CE1F0A" w:rsidP="00CE1F0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</w:rPr>
        <w:t>http://duediligence.su</w:t>
      </w:r>
    </w:p>
    <w:p w:rsidR="00CE1F0A" w:rsidRPr="00CE1F0A" w:rsidRDefault="00CE1F0A" w:rsidP="00CE1F0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</w:rPr>
        <w:t xml:space="preserve"> </w:t>
      </w:r>
      <w:r w:rsidRPr="00CE1F0A">
        <w:rPr>
          <w:rFonts w:ascii="Times New Roman" w:hAnsi="Times New Roman" w:cs="Times New Roman"/>
          <w:sz w:val="28"/>
          <w:szCs w:val="28"/>
        </w:rPr>
        <w:t>http://bbcont.ru</w:t>
      </w:r>
    </w:p>
    <w:p w:rsidR="00CE1F0A" w:rsidRPr="00CE1F0A" w:rsidRDefault="003533C9" w:rsidP="00CE1F0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w:history="1">
        <w:r w:rsidR="00CE1F0A" w:rsidRPr="00CE1F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CE1F0A" w:rsidRPr="00CE1F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CE1F0A" w:rsidRPr="00CE1F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финансовая-биржа.рф</w:t>
        </w:r>
        <w:proofErr w:type="spellEnd"/>
        <w:r w:rsidR="00CE1F0A" w:rsidRPr="00CE1F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</w:p>
    <w:p w:rsidR="00552533" w:rsidRPr="00CE1F0A" w:rsidRDefault="00552533" w:rsidP="00CE1F0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F0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E1F0A">
        <w:rPr>
          <w:rFonts w:ascii="Times New Roman" w:hAnsi="Times New Roman" w:cs="Times New Roman"/>
          <w:sz w:val="28"/>
          <w:szCs w:val="28"/>
        </w:rPr>
        <w:t>://</w:t>
      </w:r>
      <w:r w:rsidRPr="00CE1F0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E1F0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E1F0A">
        <w:rPr>
          <w:rFonts w:ascii="Times New Roman" w:hAnsi="Times New Roman" w:cs="Times New Roman"/>
          <w:sz w:val="28"/>
          <w:szCs w:val="28"/>
          <w:lang w:val="en-US"/>
        </w:rPr>
        <w:t>inventech</w:t>
      </w:r>
      <w:proofErr w:type="spellEnd"/>
      <w:r w:rsidRPr="00CE1F0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E1F0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E1F0A" w:rsidRPr="00CE1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533" w:rsidRPr="00CE1F0A" w:rsidRDefault="00552533" w:rsidP="00CE1F0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2533" w:rsidRPr="00CE1F0A" w:rsidRDefault="00552533" w:rsidP="00CE1F0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52533" w:rsidRPr="00CE1F0A" w:rsidSect="00AC059A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16E" w:rsidRDefault="00B5416E" w:rsidP="00285435">
      <w:pPr>
        <w:spacing w:after="0" w:line="240" w:lineRule="auto"/>
      </w:pPr>
      <w:r>
        <w:separator/>
      </w:r>
    </w:p>
  </w:endnote>
  <w:endnote w:type="continuationSeparator" w:id="0">
    <w:p w:rsidR="00B5416E" w:rsidRDefault="00B5416E" w:rsidP="00285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78422"/>
      <w:docPartObj>
        <w:docPartGallery w:val="Page Numbers (Bottom of Page)"/>
        <w:docPartUnique/>
      </w:docPartObj>
    </w:sdtPr>
    <w:sdtContent>
      <w:p w:rsidR="00285435" w:rsidRDefault="003533C9">
        <w:pPr>
          <w:pStyle w:val="a7"/>
          <w:jc w:val="right"/>
        </w:pPr>
        <w:fldSimple w:instr=" PAGE   \* MERGEFORMAT ">
          <w:r w:rsidR="00047F8B">
            <w:rPr>
              <w:noProof/>
            </w:rPr>
            <w:t>7</w:t>
          </w:r>
        </w:fldSimple>
      </w:p>
    </w:sdtContent>
  </w:sdt>
  <w:p w:rsidR="00285435" w:rsidRDefault="002854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16E" w:rsidRDefault="00B5416E" w:rsidP="00285435">
      <w:pPr>
        <w:spacing w:after="0" w:line="240" w:lineRule="auto"/>
      </w:pPr>
      <w:r>
        <w:separator/>
      </w:r>
    </w:p>
  </w:footnote>
  <w:footnote w:type="continuationSeparator" w:id="0">
    <w:p w:rsidR="00B5416E" w:rsidRDefault="00B5416E" w:rsidP="00285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339AD"/>
    <w:multiLevelType w:val="hybridMultilevel"/>
    <w:tmpl w:val="B19C3C90"/>
    <w:lvl w:ilvl="0" w:tplc="AA4818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00F4265"/>
    <w:multiLevelType w:val="hybridMultilevel"/>
    <w:tmpl w:val="581A64AC"/>
    <w:lvl w:ilvl="0" w:tplc="06E27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305E2A"/>
    <w:multiLevelType w:val="hybridMultilevel"/>
    <w:tmpl w:val="4038286E"/>
    <w:lvl w:ilvl="0" w:tplc="166462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26F"/>
    <w:rsid w:val="00047F8B"/>
    <w:rsid w:val="000D0E18"/>
    <w:rsid w:val="00112BEB"/>
    <w:rsid w:val="001F369D"/>
    <w:rsid w:val="00285435"/>
    <w:rsid w:val="002A1A76"/>
    <w:rsid w:val="002E16C8"/>
    <w:rsid w:val="003533C9"/>
    <w:rsid w:val="003C5332"/>
    <w:rsid w:val="004F60EC"/>
    <w:rsid w:val="0050526F"/>
    <w:rsid w:val="00525A97"/>
    <w:rsid w:val="00552533"/>
    <w:rsid w:val="00573BE2"/>
    <w:rsid w:val="007823EB"/>
    <w:rsid w:val="00806AD5"/>
    <w:rsid w:val="008139AB"/>
    <w:rsid w:val="00A40CA2"/>
    <w:rsid w:val="00AC059A"/>
    <w:rsid w:val="00B1081B"/>
    <w:rsid w:val="00B1595F"/>
    <w:rsid w:val="00B5416E"/>
    <w:rsid w:val="00C516A3"/>
    <w:rsid w:val="00C77F4F"/>
    <w:rsid w:val="00C9246A"/>
    <w:rsid w:val="00C96C47"/>
    <w:rsid w:val="00CB5D20"/>
    <w:rsid w:val="00CC01FA"/>
    <w:rsid w:val="00CE1F0A"/>
    <w:rsid w:val="00D411DF"/>
    <w:rsid w:val="00FE7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052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526F"/>
  </w:style>
  <w:style w:type="character" w:styleId="a3">
    <w:name w:val="Hyperlink"/>
    <w:basedOn w:val="a0"/>
    <w:uiPriority w:val="99"/>
    <w:unhideWhenUsed/>
    <w:rsid w:val="007823EB"/>
    <w:rPr>
      <w:color w:val="0000FF" w:themeColor="hyperlink"/>
      <w:u w:val="single"/>
    </w:rPr>
  </w:style>
  <w:style w:type="paragraph" w:customStyle="1" w:styleId="1">
    <w:name w:val="Стиль1"/>
    <w:rsid w:val="00552533"/>
    <w:pPr>
      <w:autoSpaceDE w:val="0"/>
      <w:autoSpaceDN w:val="0"/>
      <w:adjustRightInd w:val="0"/>
      <w:spacing w:after="0" w:line="240" w:lineRule="auto"/>
      <w:ind w:firstLine="198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10">
    <w:name w:val="Обычный1"/>
    <w:rsid w:val="005525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5525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5253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85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5435"/>
  </w:style>
  <w:style w:type="paragraph" w:styleId="a7">
    <w:name w:val="footer"/>
    <w:basedOn w:val="a"/>
    <w:link w:val="a8"/>
    <w:uiPriority w:val="99"/>
    <w:unhideWhenUsed/>
    <w:rsid w:val="00285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5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Valued eMachines Customer</cp:lastModifiedBy>
  <cp:revision>10</cp:revision>
  <dcterms:created xsi:type="dcterms:W3CDTF">2012-11-17T11:04:00Z</dcterms:created>
  <dcterms:modified xsi:type="dcterms:W3CDTF">2013-12-02T12:03:00Z</dcterms:modified>
</cp:coreProperties>
</file>