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7BE3" w:rsidRPr="00507FCF" w:rsidRDefault="00C47BE3" w:rsidP="00C47BE3">
      <w:pPr>
        <w:jc w:val="center"/>
        <w:rPr>
          <w:rStyle w:val="ab"/>
          <w:rFonts w:ascii="Times New Roman" w:hAnsi="Times New Roman"/>
          <w:b w:val="0"/>
          <w:sz w:val="28"/>
          <w:szCs w:val="28"/>
        </w:rPr>
      </w:pPr>
      <w:r w:rsidRPr="00507FCF">
        <w:rPr>
          <w:rStyle w:val="ab"/>
          <w:rFonts w:ascii="Times New Roman" w:hAnsi="Times New Roman"/>
          <w:b w:val="0"/>
          <w:sz w:val="28"/>
          <w:szCs w:val="28"/>
        </w:rPr>
        <w:t xml:space="preserve">Федеральное государственное образовательное </w:t>
      </w:r>
    </w:p>
    <w:p w:rsidR="00C47BE3" w:rsidRPr="00507FCF" w:rsidRDefault="00C47BE3" w:rsidP="00C47BE3">
      <w:pPr>
        <w:jc w:val="center"/>
        <w:rPr>
          <w:rFonts w:ascii="Times New Roman" w:hAnsi="Times New Roman"/>
          <w:b/>
        </w:rPr>
      </w:pPr>
      <w:r w:rsidRPr="00507FCF">
        <w:rPr>
          <w:rStyle w:val="ab"/>
          <w:rFonts w:ascii="Times New Roman" w:hAnsi="Times New Roman"/>
          <w:b w:val="0"/>
          <w:sz w:val="28"/>
          <w:szCs w:val="28"/>
        </w:rPr>
        <w:t>бюджетное учреждение</w:t>
      </w:r>
      <w:r w:rsidRPr="00507FCF">
        <w:rPr>
          <w:rFonts w:ascii="Times New Roman" w:hAnsi="Times New Roman"/>
          <w:b/>
          <w:bCs/>
          <w:sz w:val="28"/>
          <w:szCs w:val="28"/>
        </w:rPr>
        <w:t xml:space="preserve"> </w:t>
      </w:r>
      <w:r w:rsidRPr="00507FCF">
        <w:rPr>
          <w:rStyle w:val="ab"/>
          <w:rFonts w:ascii="Times New Roman" w:hAnsi="Times New Roman"/>
          <w:b w:val="0"/>
          <w:sz w:val="28"/>
          <w:szCs w:val="28"/>
        </w:rPr>
        <w:t>высшего профессионального образования</w:t>
      </w:r>
    </w:p>
    <w:p w:rsidR="00C47BE3" w:rsidRPr="00507FCF" w:rsidRDefault="00C47BE3" w:rsidP="00C47BE3">
      <w:pPr>
        <w:jc w:val="center"/>
        <w:rPr>
          <w:rStyle w:val="ab"/>
          <w:rFonts w:ascii="Times New Roman" w:hAnsi="Times New Roman"/>
        </w:rPr>
      </w:pPr>
    </w:p>
    <w:p w:rsidR="00C47BE3" w:rsidRPr="00507FCF" w:rsidRDefault="00C47BE3" w:rsidP="00C47BE3">
      <w:pPr>
        <w:jc w:val="center"/>
        <w:rPr>
          <w:rStyle w:val="ab"/>
          <w:rFonts w:ascii="Times New Roman" w:hAnsi="Times New Roman"/>
          <w:sz w:val="28"/>
          <w:szCs w:val="28"/>
        </w:rPr>
      </w:pPr>
      <w:r w:rsidRPr="00507FCF">
        <w:rPr>
          <w:rStyle w:val="ab"/>
          <w:rFonts w:ascii="Times New Roman" w:hAnsi="Times New Roman"/>
          <w:sz w:val="28"/>
          <w:szCs w:val="28"/>
        </w:rPr>
        <w:t xml:space="preserve">«ФИНАНСОВЫЙ УНИВЕРСИТЕТ </w:t>
      </w:r>
    </w:p>
    <w:p w:rsidR="00C47BE3" w:rsidRPr="00507FCF" w:rsidRDefault="00C47BE3" w:rsidP="00C47BE3">
      <w:pPr>
        <w:jc w:val="center"/>
        <w:rPr>
          <w:rStyle w:val="ab"/>
          <w:rFonts w:ascii="Times New Roman" w:hAnsi="Times New Roman"/>
          <w:sz w:val="28"/>
          <w:szCs w:val="28"/>
        </w:rPr>
      </w:pPr>
      <w:r w:rsidRPr="00507FCF">
        <w:rPr>
          <w:rStyle w:val="ab"/>
          <w:rFonts w:ascii="Times New Roman" w:hAnsi="Times New Roman"/>
          <w:sz w:val="28"/>
          <w:szCs w:val="28"/>
        </w:rPr>
        <w:t>ПРИ ПРАВИТЕЛЬСТВЕ РОССИЙСКОЙ ФЕДЕРАЦИИ»</w:t>
      </w:r>
    </w:p>
    <w:p w:rsidR="00C47BE3" w:rsidRPr="00507FCF" w:rsidRDefault="00C47BE3" w:rsidP="00C47BE3">
      <w:pPr>
        <w:jc w:val="center"/>
        <w:rPr>
          <w:rFonts w:ascii="Times New Roman" w:hAnsi="Times New Roman"/>
        </w:rPr>
      </w:pPr>
    </w:p>
    <w:p w:rsidR="00C47BE3" w:rsidRPr="00507FCF" w:rsidRDefault="00C47BE3" w:rsidP="00C47BE3">
      <w:pPr>
        <w:spacing w:before="120" w:line="360" w:lineRule="auto"/>
        <w:jc w:val="center"/>
        <w:rPr>
          <w:rFonts w:ascii="Times New Roman" w:hAnsi="Times New Roman"/>
          <w:caps/>
        </w:rPr>
      </w:pPr>
      <w:r w:rsidRPr="00507FCF">
        <w:rPr>
          <w:rFonts w:ascii="Times New Roman" w:hAnsi="Times New Roman"/>
          <w:sz w:val="28"/>
          <w:szCs w:val="28"/>
        </w:rPr>
        <w:t>ЗАОЧНЫЙ ФИНАНСОВО-ЭКОНОМИЧЕСКИЙ ИНСТИТУТ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color w:val="000000"/>
          <w:spacing w:val="-1"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color w:val="000000"/>
          <w:spacing w:val="-1"/>
          <w:sz w:val="28"/>
          <w:szCs w:val="28"/>
        </w:rPr>
        <w:t>Кафедра денег, кредита и ценных бумаг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КОНТРОЛЬНАЯ РАБОТА</w:t>
      </w:r>
    </w:p>
    <w:p w:rsidR="00C47BE3" w:rsidRPr="00507FCF" w:rsidRDefault="00C47BE3" w:rsidP="00C47BE3">
      <w:pPr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по дисциплине «</w:t>
      </w:r>
      <w:r w:rsidRPr="00507FCF">
        <w:rPr>
          <w:rFonts w:ascii="Times New Roman" w:hAnsi="Times New Roman"/>
          <w:b/>
          <w:spacing w:val="-4"/>
          <w:sz w:val="28"/>
          <w:szCs w:val="28"/>
        </w:rPr>
        <w:t>Рынок ценных бумаг</w:t>
      </w:r>
      <w:r w:rsidRPr="00507FCF">
        <w:rPr>
          <w:rFonts w:ascii="Times New Roman" w:hAnsi="Times New Roman"/>
          <w:b/>
          <w:sz w:val="28"/>
          <w:szCs w:val="28"/>
        </w:rPr>
        <w:t>»</w:t>
      </w:r>
    </w:p>
    <w:p w:rsidR="00C47BE3" w:rsidRPr="00507FCF" w:rsidRDefault="00C47BE3" w:rsidP="00C47BE3">
      <w:pPr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с использованием компьютерной обучающей программы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Вариант № </w:t>
      </w:r>
      <w:r w:rsidR="00507FCF">
        <w:rPr>
          <w:rFonts w:ascii="Times New Roman" w:hAnsi="Times New Roman"/>
          <w:sz w:val="28"/>
          <w:szCs w:val="28"/>
        </w:rPr>
        <w:t>12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7E73A2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21.45pt;margin-top:17.5pt;width:272.75pt;height:26pt;z-index:251660288" fillcolor="#ffc" stroked="f">
            <v:textbox style="mso-next-textbox:#_x0000_s1026">
              <w:txbxContent>
                <w:p w:rsidR="00C47BE3" w:rsidRPr="00507FCF" w:rsidRDefault="00C47BE3" w:rsidP="00C47BE3">
                  <w:pPr>
                    <w:rPr>
                      <w:sz w:val="28"/>
                      <w:szCs w:val="28"/>
                    </w:rPr>
                  </w:pPr>
                  <w:r w:rsidRPr="00507FCF">
                    <w:rPr>
                      <w:sz w:val="28"/>
                      <w:szCs w:val="28"/>
                    </w:rPr>
                    <w:t>Байдаков Л.М.</w:t>
                  </w:r>
                </w:p>
              </w:txbxContent>
            </v:textbox>
          </v:shape>
        </w:pict>
      </w:r>
    </w:p>
    <w:p w:rsidR="00C47BE3" w:rsidRPr="00507FCF" w:rsidRDefault="00C47BE3" w:rsidP="00C47BE3">
      <w:pPr>
        <w:spacing w:before="120" w:after="120" w:line="360" w:lineRule="auto"/>
        <w:ind w:left="142" w:right="565" w:firstLine="142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Преподаватель: ___________________________________________</w:t>
      </w:r>
    </w:p>
    <w:p w:rsidR="00C47BE3" w:rsidRPr="00507FCF" w:rsidRDefault="00C47BE3" w:rsidP="00C47BE3">
      <w:pPr>
        <w:spacing w:before="120"/>
        <w:ind w:firstLine="284"/>
        <w:rPr>
          <w:rFonts w:ascii="Times New Roman" w:hAnsi="Times New Roman"/>
          <w:b/>
          <w:spacing w:val="-4"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 xml:space="preserve">Студент </w:t>
      </w:r>
      <w:r w:rsidRPr="00507FCF">
        <w:rPr>
          <w:rFonts w:ascii="Times New Roman" w:hAnsi="Times New Roman"/>
          <w:b/>
          <w:spacing w:val="-4"/>
          <w:sz w:val="28"/>
          <w:szCs w:val="28"/>
        </w:rPr>
        <w:t>5 курса:</w:t>
      </w:r>
    </w:p>
    <w:p w:rsidR="00C47BE3" w:rsidRPr="00507FCF" w:rsidRDefault="007E73A2" w:rsidP="00C47BE3">
      <w:pPr>
        <w:spacing w:after="120"/>
        <w:ind w:firstLine="284"/>
        <w:rPr>
          <w:rFonts w:ascii="Times New Roman" w:hAnsi="Times New Roman"/>
          <w:b/>
          <w:spacing w:val="-4"/>
          <w:sz w:val="28"/>
          <w:szCs w:val="28"/>
        </w:rPr>
      </w:pPr>
      <w:r w:rsidRPr="007E73A2">
        <w:rPr>
          <w:rFonts w:ascii="Times New Roman" w:hAnsi="Times New Roman"/>
          <w:b/>
          <w:noProof/>
          <w:sz w:val="28"/>
          <w:szCs w:val="28"/>
        </w:rPr>
        <w:pict>
          <v:shape id="_x0000_s1027" type="#_x0000_t202" style="position:absolute;left:0;text-align:left;margin-left:33.4pt;margin-top:17.25pt;width:385.75pt;height:26pt;z-index:251661312" fillcolor="#ffc" stroked="f">
            <v:textbox style="mso-next-textbox:#_x0000_s1027">
              <w:txbxContent>
                <w:p w:rsidR="00C47BE3" w:rsidRPr="00996437" w:rsidRDefault="00C47BE3" w:rsidP="00C47BE3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C47BE3" w:rsidRPr="00507FCF" w:rsidRDefault="00C47BE3" w:rsidP="00C47BE3">
      <w:pPr>
        <w:spacing w:before="240"/>
        <w:ind w:right="964"/>
        <w:jc w:val="right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_______________________________________________________</w:t>
      </w:r>
    </w:p>
    <w:p w:rsidR="00C47BE3" w:rsidRPr="00507FCF" w:rsidRDefault="007E73A2" w:rsidP="00C47BE3">
      <w:pPr>
        <w:spacing w:line="360" w:lineRule="auto"/>
        <w:jc w:val="center"/>
        <w:rPr>
          <w:rFonts w:ascii="Times New Roman" w:hAnsi="Times New Roman"/>
          <w:b/>
          <w:sz w:val="22"/>
        </w:rPr>
      </w:pPr>
      <w:r w:rsidRPr="007E73A2">
        <w:rPr>
          <w:rFonts w:ascii="Times New Roman" w:hAnsi="Times New Roman"/>
          <w:b/>
          <w:noProof/>
          <w:sz w:val="28"/>
          <w:szCs w:val="28"/>
        </w:rPr>
        <w:pict>
          <v:shape id="_x0000_s1028" type="#_x0000_t202" style="position:absolute;left:0;text-align:left;margin-left:34.4pt;margin-top:13.4pt;width:384.25pt;height:26pt;z-index:251662336" fillcolor="#ffc" stroked="f">
            <v:textbox style="mso-next-textbox:#_x0000_s1028">
              <w:txbxContent>
                <w:p w:rsidR="00C47BE3" w:rsidRPr="00062A06" w:rsidRDefault="00C47BE3" w:rsidP="00C47BE3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Финансы и кредит</w:t>
                  </w:r>
                </w:p>
              </w:txbxContent>
            </v:textbox>
          </v:shape>
        </w:pict>
      </w:r>
      <w:r w:rsidR="00C47BE3" w:rsidRPr="00507FCF">
        <w:rPr>
          <w:rFonts w:ascii="Times New Roman" w:hAnsi="Times New Roman"/>
          <w:b/>
          <w:sz w:val="22"/>
        </w:rPr>
        <w:t>(Ф.И.О.)</w:t>
      </w:r>
    </w:p>
    <w:p w:rsidR="00C47BE3" w:rsidRPr="00507FCF" w:rsidRDefault="00C47BE3" w:rsidP="00C47BE3">
      <w:pPr>
        <w:spacing w:before="120"/>
        <w:ind w:right="964"/>
        <w:jc w:val="right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_______________________________________________________</w:t>
      </w:r>
    </w:p>
    <w:p w:rsidR="00C47BE3" w:rsidRPr="00507FCF" w:rsidRDefault="007E73A2" w:rsidP="00C47BE3">
      <w:pPr>
        <w:spacing w:line="360" w:lineRule="auto"/>
        <w:jc w:val="center"/>
        <w:rPr>
          <w:rFonts w:ascii="Times New Roman" w:hAnsi="Times New Roman"/>
          <w:b/>
          <w:sz w:val="22"/>
        </w:rPr>
      </w:pPr>
      <w:r w:rsidRPr="007E73A2">
        <w:rPr>
          <w:rFonts w:ascii="Times New Roman" w:hAnsi="Times New Roman"/>
          <w:b/>
          <w:noProof/>
          <w:sz w:val="28"/>
          <w:szCs w:val="28"/>
        </w:rPr>
        <w:pict>
          <v:shape id="_x0000_s1029" type="#_x0000_t202" style="position:absolute;left:0;text-align:left;margin-left:33.4pt;margin-top:13.3pt;width:385.25pt;height:26pt;z-index:251663360" fillcolor="#ffc" stroked="f">
            <v:textbox style="mso-next-textbox:#_x0000_s1029">
              <w:txbxContent>
                <w:p w:rsidR="00C47BE3" w:rsidRPr="00996437" w:rsidRDefault="00C47BE3" w:rsidP="00C47BE3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C47BE3" w:rsidRPr="00507FCF">
        <w:rPr>
          <w:rFonts w:ascii="Times New Roman" w:hAnsi="Times New Roman"/>
          <w:b/>
          <w:sz w:val="22"/>
        </w:rPr>
        <w:t>(факультет)</w:t>
      </w:r>
    </w:p>
    <w:p w:rsidR="00C47BE3" w:rsidRPr="00507FCF" w:rsidRDefault="00C47BE3" w:rsidP="00C47BE3">
      <w:pPr>
        <w:tabs>
          <w:tab w:val="left" w:pos="8931"/>
          <w:tab w:val="left" w:pos="9214"/>
        </w:tabs>
        <w:spacing w:before="120"/>
        <w:ind w:right="964"/>
        <w:jc w:val="right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_______________________________________________________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2"/>
        </w:rPr>
      </w:pPr>
      <w:r w:rsidRPr="00507FCF">
        <w:rPr>
          <w:rFonts w:ascii="Times New Roman" w:hAnsi="Times New Roman"/>
          <w:b/>
          <w:sz w:val="22"/>
        </w:rPr>
        <w:t>(№ личного дела, № группы)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  <w:sectPr w:rsidR="00C47BE3" w:rsidRPr="00507FCF">
          <w:headerReference w:type="even" r:id="rId7"/>
          <w:headerReference w:type="default" r:id="rId8"/>
          <w:footerReference w:type="default" r:id="rId9"/>
          <w:pgSz w:w="11906" w:h="16838" w:code="9"/>
          <w:pgMar w:top="1134" w:right="851" w:bottom="1134" w:left="1701" w:header="709" w:footer="709" w:gutter="0"/>
          <w:cols w:space="708"/>
          <w:docGrid w:linePitch="381"/>
        </w:sectPr>
      </w:pPr>
      <w:r w:rsidRPr="00507FCF">
        <w:rPr>
          <w:rFonts w:ascii="Times New Roman" w:hAnsi="Times New Roman"/>
          <w:b/>
          <w:sz w:val="28"/>
          <w:szCs w:val="28"/>
        </w:rPr>
        <w:t>Уфа – 2013</w:t>
      </w:r>
    </w:p>
    <w:p w:rsidR="00C47BE3" w:rsidRPr="00507FCF" w:rsidRDefault="00C47BE3" w:rsidP="00C47BE3">
      <w:p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lastRenderedPageBreak/>
        <w:t>План работы</w:t>
      </w:r>
    </w:p>
    <w:p w:rsidR="00C47BE3" w:rsidRPr="00507FCF" w:rsidRDefault="00C47BE3" w:rsidP="00C47BE3">
      <w:pPr>
        <w:spacing w:line="360" w:lineRule="auto"/>
        <w:ind w:right="282" w:firstLine="720"/>
        <w:jc w:val="right"/>
        <w:rPr>
          <w:rFonts w:ascii="Times New Roman" w:hAnsi="Times New Roman"/>
          <w:sz w:val="28"/>
        </w:rPr>
      </w:pPr>
      <w:r w:rsidRPr="00507FCF">
        <w:rPr>
          <w:rFonts w:ascii="Times New Roman" w:hAnsi="Times New Roman"/>
          <w:sz w:val="28"/>
        </w:rPr>
        <w:t>Стр.</w:t>
      </w:r>
    </w:p>
    <w:tbl>
      <w:tblPr>
        <w:tblW w:w="0" w:type="auto"/>
        <w:tblLook w:val="01E0"/>
      </w:tblPr>
      <w:tblGrid>
        <w:gridCol w:w="8613"/>
        <w:gridCol w:w="723"/>
      </w:tblGrid>
      <w:tr w:rsidR="00C47BE3" w:rsidRPr="00507FCF" w:rsidTr="00374156">
        <w:tc>
          <w:tcPr>
            <w:tcW w:w="8613" w:type="dxa"/>
          </w:tcPr>
          <w:p w:rsidR="00C47BE3" w:rsidRPr="00507FCF" w:rsidRDefault="00C47BE3" w:rsidP="00374156">
            <w:pPr>
              <w:spacing w:before="120" w:after="120"/>
              <w:rPr>
                <w:rFonts w:ascii="Times New Roman" w:hAnsi="Times New Roman"/>
                <w:sz w:val="28"/>
                <w:szCs w:val="28"/>
              </w:rPr>
            </w:pPr>
            <w:r w:rsidRPr="00507FCF">
              <w:rPr>
                <w:rFonts w:ascii="Times New Roman" w:hAnsi="Times New Roman"/>
                <w:sz w:val="28"/>
                <w:szCs w:val="28"/>
              </w:rPr>
              <w:t>Контрольный теоретический вопрос ........................................................</w:t>
            </w:r>
          </w:p>
        </w:tc>
        <w:tc>
          <w:tcPr>
            <w:tcW w:w="709" w:type="dxa"/>
            <w:shd w:val="clear" w:color="auto" w:fill="FFFFCC"/>
          </w:tcPr>
          <w:p w:rsidR="00C47BE3" w:rsidRPr="00507FCF" w:rsidRDefault="00C47BE3" w:rsidP="00374156">
            <w:pPr>
              <w:spacing w:before="120" w:after="120"/>
              <w:ind w:right="227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507FC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</w:tr>
      <w:tr w:rsidR="00C47BE3" w:rsidRPr="00507FCF" w:rsidTr="00374156">
        <w:tc>
          <w:tcPr>
            <w:tcW w:w="8613" w:type="dxa"/>
          </w:tcPr>
          <w:p w:rsidR="00C47BE3" w:rsidRPr="00507FCF" w:rsidRDefault="00C47BE3" w:rsidP="00374156">
            <w:pPr>
              <w:spacing w:before="120" w:after="120"/>
              <w:rPr>
                <w:rFonts w:ascii="Times New Roman" w:hAnsi="Times New Roman"/>
                <w:sz w:val="28"/>
                <w:szCs w:val="28"/>
              </w:rPr>
            </w:pPr>
            <w:r w:rsidRPr="00507FCF">
              <w:rPr>
                <w:rFonts w:ascii="Times New Roman" w:hAnsi="Times New Roman"/>
                <w:sz w:val="28"/>
                <w:szCs w:val="28"/>
              </w:rPr>
              <w:t>Контрольные тестовые задания .................................................................</w:t>
            </w:r>
          </w:p>
        </w:tc>
        <w:tc>
          <w:tcPr>
            <w:tcW w:w="709" w:type="dxa"/>
            <w:shd w:val="clear" w:color="auto" w:fill="FFFFCC"/>
          </w:tcPr>
          <w:p w:rsidR="00C47BE3" w:rsidRPr="00507FCF" w:rsidRDefault="00507FCF" w:rsidP="00374156">
            <w:pPr>
              <w:spacing w:before="120" w:after="120"/>
              <w:ind w:right="227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</w:t>
            </w:r>
          </w:p>
        </w:tc>
      </w:tr>
      <w:tr w:rsidR="00C47BE3" w:rsidRPr="00507FCF" w:rsidTr="00374156">
        <w:tc>
          <w:tcPr>
            <w:tcW w:w="8613" w:type="dxa"/>
          </w:tcPr>
          <w:p w:rsidR="00C47BE3" w:rsidRPr="00507FCF" w:rsidRDefault="00C47BE3" w:rsidP="00374156">
            <w:pPr>
              <w:spacing w:before="120" w:after="120"/>
              <w:rPr>
                <w:rFonts w:ascii="Times New Roman" w:hAnsi="Times New Roman"/>
                <w:sz w:val="28"/>
                <w:szCs w:val="28"/>
              </w:rPr>
            </w:pPr>
            <w:r w:rsidRPr="00507FCF">
              <w:rPr>
                <w:rFonts w:ascii="Times New Roman" w:hAnsi="Times New Roman"/>
                <w:sz w:val="28"/>
                <w:szCs w:val="28"/>
              </w:rPr>
              <w:t>Задача ...........................................................................................................</w:t>
            </w:r>
          </w:p>
        </w:tc>
        <w:tc>
          <w:tcPr>
            <w:tcW w:w="709" w:type="dxa"/>
            <w:shd w:val="clear" w:color="auto" w:fill="FFFFCC"/>
          </w:tcPr>
          <w:p w:rsidR="00C47BE3" w:rsidRPr="00507FCF" w:rsidRDefault="00507FCF" w:rsidP="00374156">
            <w:pPr>
              <w:spacing w:before="120" w:after="120"/>
              <w:ind w:right="227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</w:t>
            </w:r>
          </w:p>
        </w:tc>
      </w:tr>
      <w:tr w:rsidR="00C47BE3" w:rsidRPr="00507FCF" w:rsidTr="00374156">
        <w:tc>
          <w:tcPr>
            <w:tcW w:w="8613" w:type="dxa"/>
          </w:tcPr>
          <w:p w:rsidR="00C47BE3" w:rsidRPr="00507FCF" w:rsidRDefault="00C47BE3" w:rsidP="00374156">
            <w:pPr>
              <w:spacing w:before="120" w:after="120"/>
              <w:rPr>
                <w:rFonts w:ascii="Times New Roman" w:hAnsi="Times New Roman"/>
                <w:sz w:val="28"/>
                <w:szCs w:val="28"/>
              </w:rPr>
            </w:pPr>
            <w:r w:rsidRPr="00507FCF">
              <w:rPr>
                <w:rFonts w:ascii="Times New Roman" w:hAnsi="Times New Roman"/>
                <w:sz w:val="28"/>
                <w:szCs w:val="28"/>
              </w:rPr>
              <w:t>Список литературы .....................................................................................</w:t>
            </w:r>
          </w:p>
        </w:tc>
        <w:tc>
          <w:tcPr>
            <w:tcW w:w="709" w:type="dxa"/>
            <w:shd w:val="clear" w:color="auto" w:fill="FFFFCC"/>
          </w:tcPr>
          <w:p w:rsidR="00C47BE3" w:rsidRPr="00507FCF" w:rsidRDefault="00507FCF" w:rsidP="00374156">
            <w:pPr>
              <w:spacing w:before="120" w:after="120"/>
              <w:ind w:right="227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22</w:t>
            </w:r>
          </w:p>
        </w:tc>
      </w:tr>
    </w:tbl>
    <w:p w:rsidR="005F6E62" w:rsidRPr="00507FCF" w:rsidRDefault="005F6E62" w:rsidP="005F6E62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AA1E9E" w:rsidRPr="00507FCF" w:rsidRDefault="00AA1E9E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8133D8">
      <w:pPr>
        <w:rPr>
          <w:rFonts w:ascii="Times New Roman" w:hAnsi="Times New Roman"/>
          <w:szCs w:val="28"/>
        </w:rPr>
      </w:pPr>
    </w:p>
    <w:p w:rsidR="005F6E62" w:rsidRPr="00507FCF" w:rsidRDefault="005F6E62" w:rsidP="000C309B">
      <w:pPr>
        <w:pStyle w:val="1"/>
        <w:spacing w:after="24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507FCF">
        <w:rPr>
          <w:rFonts w:ascii="Times New Roman" w:hAnsi="Times New Roman" w:cs="Times New Roman"/>
          <w:sz w:val="28"/>
          <w:szCs w:val="28"/>
        </w:rPr>
        <w:lastRenderedPageBreak/>
        <w:t>Контрольный теоретический вопрос</w:t>
      </w:r>
    </w:p>
    <w:p w:rsidR="005F6E62" w:rsidRPr="00507FCF" w:rsidRDefault="005F6E62" w:rsidP="000C309B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Вторичный рынок ценных бумаг (фондовая биржа).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Вторичный рынок представлен фондовой биржей, т.е. это биржевой рынок. Сюда поступают ценные бумаги, прошедшие через первичный, внебиржевой рынок. В ряде западных стран на вторичный рынок частично поступают ценные бумаги первичной эмиссии. [2, с.96].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611607" cy="1981200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6355" t="21644" r="17584" b="298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1607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>Рисунок 1 – Структура финансового рынка.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>[с. 2, 9].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Вторичный рынок ценных бумаг подразделяется </w:t>
      </w:r>
      <w:proofErr w:type="gramStart"/>
      <w:r w:rsidRPr="00507FCF">
        <w:rPr>
          <w:rFonts w:ascii="Times New Roman" w:hAnsi="Times New Roman"/>
          <w:sz w:val="28"/>
          <w:szCs w:val="28"/>
        </w:rPr>
        <w:t>на</w:t>
      </w:r>
      <w:proofErr w:type="gramEnd"/>
      <w:r w:rsidRPr="00507FCF">
        <w:rPr>
          <w:rFonts w:ascii="Times New Roman" w:hAnsi="Times New Roman"/>
          <w:sz w:val="28"/>
          <w:szCs w:val="28"/>
        </w:rPr>
        <w:t>: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 – организованный (биржевой) рынок;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– неорганизованный (внебиржевой или «уличный») рынок.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Организованный, или биржевой, рынок исчерпывается понятием фондовой биржи как особого, институционально организованного рынка, на котором обращаются ценные бумаги наиболее высокого качества и </w:t>
      </w:r>
      <w:proofErr w:type="gramStart"/>
      <w:r w:rsidRPr="00507FCF">
        <w:rPr>
          <w:rFonts w:ascii="Times New Roman" w:hAnsi="Times New Roman"/>
          <w:sz w:val="28"/>
          <w:szCs w:val="28"/>
        </w:rPr>
        <w:t>операции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на котором совершают профессиональные участники рынка ценных бумаг. [11].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Фондовая биржа перерабатывает в основном акции и в меньшей степени частные и государственные облигации; она больше связана с перераспределением собственности и капиталов, хотя и выполняет функцию мобилизации денежного капитала в экономику.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Фондовая биржа — традиционно и постоянно действующий рынок ценных бумаг с определенным местом и временем их купли-продажи. Это </w:t>
      </w:r>
      <w:r w:rsidRPr="00507FCF">
        <w:rPr>
          <w:rFonts w:ascii="Times New Roman" w:hAnsi="Times New Roman"/>
          <w:sz w:val="28"/>
          <w:szCs w:val="28"/>
        </w:rPr>
        <w:lastRenderedPageBreak/>
        <w:t xml:space="preserve">важный элемент современного экономического механизма. Биржа играет огромную роль в торговле ценными бумагами, концентрации и централизации капитала, а также в проведении спекулятивных операций. [2, С. 96].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Важнейшая черта вторичного рынка – это его ликвидность, т. е. возможность успешной и обширной торговли, способность поглощать значительные объемы ценных бумаг в короткое время, при небольших колебаниях курсов и при низких издержках на реализацию.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b/>
          <w:i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 xml:space="preserve">Признаки классической фондовой биржи: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1) это централизованный рынок с фиксированным местом торговли, т. е. наличием торговой площадки;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2) на данном рынке существует процедура отбора наилучших товаров (ценных бумаг), отвечающих определенным требованиям (финансовая устойчивость и крупные размеры эмитента, массовость ценной бумаги как однородного и стандартного товара, массовость спроса, четко выраженные колебания цен и т. д.);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3) существование процедуры отбора лучших операторов рынка в качестве членов биржи;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4) наличие временного регламента торговли ценными бумагами и стандартных торговых процедур;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5) централизация регистрации сделок и расчетов по ним;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6) установление официальных (биржевых) котировок;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7) надзор за членами биржи (с позиций их финансовой устойчивости, безопасного ведения бизнеса и соблюдения этики фондового рынка). Вторичный рынок ценных бумаг – это ряд институтов, через которые инвесторы могут продать и купить выпущенные в прошлом ценные бумаги. Вторичный рынок состоит из фондовых бирж и рынка незарегистрированных ценных бумаг. В США фондовые биржи представлены Нью-Йоркской фондовой биржей, Американской фондовой биржей и региональными и фондовыми биржами.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lastRenderedPageBreak/>
        <w:t xml:space="preserve"> На вторичном рынке ценных бумаг организации не могут получить необходимые им денежные фонды, здесь продаются и покупаются уже купленные однажды ценные бумаги.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Отличие вторичного рынка ценных бумаг от первичного заключается не только в том, что первичный рынок предшествует </w:t>
      </w:r>
      <w:proofErr w:type="gramStart"/>
      <w:r w:rsidRPr="00507FCF">
        <w:rPr>
          <w:rFonts w:ascii="Times New Roman" w:hAnsi="Times New Roman"/>
          <w:sz w:val="28"/>
          <w:szCs w:val="28"/>
        </w:rPr>
        <w:t>вторичному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и ценные бумаги не могут появиться на вторичном рынке, минуя первичный. На первичном и вторичном рынках происходят разные по своей сущности процессы.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На первичном рынке капиталы инвесторов путем купли-продажи ценных бумаг попадают в руки эмитента. На вторичном же рынке происходит переход ценных бумаг от одних инвесторов к другим, а деньги за проданные ценные бумаги поступают бывшим владельцам ценных бумаг. То есть операции на вторичном рынке происходят без участия эмитента и не оказывают непосредственного влияния на положение дел эмитента. [11].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b/>
          <w:i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 xml:space="preserve">Задачами развития ВРЦБ является: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повышение финансовой активности хозяйствующих субъектов;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развитие новых форм финансовой практики;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совершенствование нормативно-правовой базы;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развитие инфраструктуры рынка.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b/>
          <w:i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 xml:space="preserve">К особенностям </w:t>
      </w:r>
      <w:proofErr w:type="gramStart"/>
      <w:r w:rsidRPr="00507FCF">
        <w:rPr>
          <w:rFonts w:ascii="Times New Roman" w:hAnsi="Times New Roman"/>
          <w:b/>
          <w:i/>
          <w:sz w:val="28"/>
          <w:szCs w:val="28"/>
        </w:rPr>
        <w:t>российского</w:t>
      </w:r>
      <w:proofErr w:type="gramEnd"/>
      <w:r w:rsidRPr="00507FCF">
        <w:rPr>
          <w:rFonts w:ascii="Times New Roman" w:hAnsi="Times New Roman"/>
          <w:b/>
          <w:i/>
          <w:sz w:val="28"/>
          <w:szCs w:val="28"/>
        </w:rPr>
        <w:t xml:space="preserve"> ВРЦБ относятся: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специфика становления РЦБ;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неравноценность ценных бумаг, обращающихся на ВРЦБ по инвестиционным качествам;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отсутствие устоявшихся канонов и правил поведения на рынке.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 целом можно констатировать, что ВРЦБ не выполняет еще своей главной цели - перераспределения капиталов в наиболее эффективное производство и привлечение инвестиций для развития предприятий. ВРЦБ включает организованный и неорганизованный рынок.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lastRenderedPageBreak/>
        <w:t xml:space="preserve">Основными участниками ВРЦБ являются государство, акционерные общества, специалисты-профессионалы на РЦБ, инвестиционные фонды, коммерческие банки, фондовые центры, магазины и пр.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К операциям </w:t>
      </w:r>
      <w:proofErr w:type="gramStart"/>
      <w:r w:rsidRPr="00507FCF">
        <w:rPr>
          <w:rFonts w:ascii="Times New Roman" w:hAnsi="Times New Roman"/>
          <w:sz w:val="28"/>
          <w:szCs w:val="28"/>
        </w:rPr>
        <w:t>организованного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ВРЦБ относятся классические биржевые операции. К операциям внебиржевого рынка относятся купля-продажа, хранение ценных бумаг, формирование портфеля ценных бумаг и управление им, определение рыночной стоимости ценных бумаг, маркетинговые исследования рыночной стоимости ценных бумаг и т.д.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Современная активизация </w:t>
      </w:r>
      <w:proofErr w:type="gramStart"/>
      <w:r w:rsidRPr="00507FCF">
        <w:rPr>
          <w:rFonts w:ascii="Times New Roman" w:hAnsi="Times New Roman"/>
          <w:sz w:val="28"/>
          <w:szCs w:val="28"/>
        </w:rPr>
        <w:t>ВРЦБ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прежде всего связана с проведение дополнительных эмиссий как одним из способов привлечения инвестиционных ресурсов. Среди большого количества операций на ВРЦБ чисто спекулятивный характер имеют договоры об обратной покупке (</w:t>
      </w:r>
      <w:proofErr w:type="spellStart"/>
      <w:r w:rsidRPr="00507FCF">
        <w:rPr>
          <w:rFonts w:ascii="Times New Roman" w:hAnsi="Times New Roman"/>
          <w:sz w:val="28"/>
          <w:szCs w:val="28"/>
        </w:rPr>
        <w:t>репо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).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b/>
          <w:i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 xml:space="preserve">ВРЦБ выполняет две функции: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сводит друг с другом продавцов и покупателей (обеспечивает ликвидность ценных бумаг);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способствует выравниванию спроса и предложения.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proofErr w:type="gramStart"/>
      <w:r w:rsidRPr="00507FCF">
        <w:rPr>
          <w:rFonts w:ascii="Times New Roman" w:hAnsi="Times New Roman"/>
          <w:sz w:val="28"/>
          <w:szCs w:val="28"/>
        </w:rPr>
        <w:t>Объем сделок на вторичном рынке в развитых странах существенно выше, чем на первичном.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Например, в США он составляет 60-70% общего объема операций с ценными бумагами. </w:t>
      </w:r>
      <w:proofErr w:type="gramStart"/>
      <w:r w:rsidRPr="00507FCF">
        <w:rPr>
          <w:rFonts w:ascii="Times New Roman" w:hAnsi="Times New Roman"/>
          <w:sz w:val="28"/>
          <w:szCs w:val="28"/>
        </w:rPr>
        <w:t>Российский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ВРЦБ пока находится в стадии становления. Особое место на ВРЦБ занимают регионы. Наиболее привлекательными для потенциальных инвесторов являются </w:t>
      </w:r>
      <w:proofErr w:type="gramStart"/>
      <w:r w:rsidRPr="00507FCF">
        <w:rPr>
          <w:rFonts w:ascii="Times New Roman" w:hAnsi="Times New Roman"/>
          <w:sz w:val="28"/>
          <w:szCs w:val="28"/>
        </w:rPr>
        <w:t>Тюменская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, Самарская, Пермская, Саратовская. Лидерами, конечно, являются Тюмень, Москва и Санкт-Петербург. К числу наиболее перспективных видов операций на ВРЦБ являются  в частности, траст и клиринг.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>Траст</w:t>
      </w:r>
      <w:r w:rsidRPr="00507FCF">
        <w:rPr>
          <w:rFonts w:ascii="Times New Roman" w:hAnsi="Times New Roman"/>
          <w:sz w:val="28"/>
          <w:szCs w:val="28"/>
        </w:rPr>
        <w:t xml:space="preserve"> - один из способов оживления ВРЦБ, под трастом подразумевается операция, связанная с управлением имуществом предприятий, частных, пенсионных и других фондов. Трастовые операции основаны </w:t>
      </w:r>
      <w:proofErr w:type="gramStart"/>
      <w:r w:rsidRPr="00507FCF">
        <w:rPr>
          <w:rFonts w:ascii="Times New Roman" w:hAnsi="Times New Roman"/>
          <w:sz w:val="28"/>
          <w:szCs w:val="28"/>
        </w:rPr>
        <w:t>на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507FCF">
        <w:rPr>
          <w:rFonts w:ascii="Times New Roman" w:hAnsi="Times New Roman"/>
          <w:sz w:val="28"/>
          <w:szCs w:val="28"/>
        </w:rPr>
        <w:t>отношениям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добровольности.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 России наиболее актуальными являются агентские трастовые услуги. К ним относятся: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lastRenderedPageBreak/>
        <w:t>- управление активами;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услуги по первичному размещению.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b/>
          <w:i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 xml:space="preserve">Клиринг.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Эффективная работа рынка, связанная с владением акций и передачей прав на них, зависит от системы расчетов. В системе расчетов представляется спектр клиринговых услуг и услуг депозитариев. Клиринговые услуги представляются специализированными депозитариями, которые осуществляют: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- сбор данных о сделках с ценными бумагами;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- составление перечня сделок для проведения расчетов. [10]. 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Развитие вторичного рынка.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b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На современном этапе роль биржи в торговле ценными бумагами несколько уменьшилась. </w:t>
      </w:r>
      <w:proofErr w:type="gramStart"/>
      <w:r w:rsidRPr="00507FCF">
        <w:rPr>
          <w:rFonts w:ascii="Times New Roman" w:hAnsi="Times New Roman"/>
          <w:sz w:val="28"/>
          <w:szCs w:val="28"/>
        </w:rPr>
        <w:t>Основная причина этого — образование мощных кредитно-финансовых институтов, сконцентрировавших подавляющую часть торговли ценными бумагами без посредничества биржи, а также перемещение торговли облигациями почти полностью на внебиржевой рынок (в США около 90—95% сделок с облигациями совершается вне биржи), увеличение государственных облигаций в общей массе ценных бумаг, уменьшение доли акций в эмиссиях корпораций, установление строгого государственного надзора за биржевыми сделками в западных странах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после кризиса 1929—1933 гг.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Часть функций по размещению пакетов акций и облигаций перешла к инвестиционным и коммерческим банкам, банкирским домам, инвестиционным и страховым компаниям, которые являются членами биржи и действуют от имени многочисленных индивидуальных владельцев, доверяющих им осуществлять куплю-продажу ценных бумаг. Кредитно-финансовые учреждения, будучи кредиторами и совладельцами, проводят политику, направленную на расширение биржевых операций за счет дополнительного выпуска акций или увеличения числа их владельцев.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lastRenderedPageBreak/>
        <w:t xml:space="preserve">Другие важные факторы ослабления роли биржи в 1970-х годах </w:t>
      </w:r>
      <w:proofErr w:type="gramStart"/>
      <w:r w:rsidRPr="00507FCF">
        <w:rPr>
          <w:rFonts w:ascii="Times New Roman" w:hAnsi="Times New Roman"/>
          <w:sz w:val="28"/>
          <w:szCs w:val="28"/>
        </w:rPr>
        <w:t>—в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ытеснение с биржи мелких инвесторов кредитно-финансовыми институтами, развитие параллельных рынков ценных бумаг, бегство индивидуальных вкладчиков как результат снижения курсов акций под влиянием нестабильности экономической конъюнктуры. Мелкими инвесторами, как правило, являются высокооплачиваемые служащие и рабочие, а также лица свободных профессий. В последние годы эти слои населения предпочитают размещать свои сбережения на сберегательных счетах банков, в резервах компаний страхования жизни, пенсионных фондах, а также в дешевых акциях инвестиционных компаний. В результате кредитно-финансовые учреждения ведущих западных стран все больше превращаются в монополистов </w:t>
      </w:r>
      <w:proofErr w:type="gramStart"/>
      <w:r w:rsidRPr="00507FCF">
        <w:rPr>
          <w:rFonts w:ascii="Times New Roman" w:hAnsi="Times New Roman"/>
          <w:sz w:val="28"/>
          <w:szCs w:val="28"/>
        </w:rPr>
        <w:t>—д</w:t>
      </w:r>
      <w:proofErr w:type="gramEnd"/>
      <w:r w:rsidRPr="00507FCF">
        <w:rPr>
          <w:rFonts w:ascii="Times New Roman" w:hAnsi="Times New Roman"/>
          <w:sz w:val="28"/>
          <w:szCs w:val="28"/>
        </w:rPr>
        <w:t>ержателей всех видов ценных бумаг, что приводит к укрупнению размеров пакетов акций, котирующихся на бирже. На Нью-Йоркской фондовой бирже стала типичной купля-продажа пакетов в 1000 и более акций. Однако в странах Западной Европы в начале 1980-х годов в связи с проведением приватизации части государственной собственности и снижением налогов мелкие инвесторы начали возвращаться на фондовую биржу.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Новые тенденции способствовали развитию ряда негативных явлений в работе биржи. Замена мелких пакетов крупными уменьшила количество совершаемых сделок, неблагоприятно сказалась на формировании реальной цены акций, генерировала условия, при которых происходили слияния одних компаний с другими.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Концентрация огромных пакетов ценных бумаг в кредитно-финансовых институтах позволяет осуществлять куплю-продажу за пределами биржи. За последние 15—20 лет большое распространение получили прямые сделки между кредитно-финансовыми учреждениями по реализации и приобретению ценных бумаг, что позволяет им экономить на комиссионных и других сборах, выплачиваемых ранее брокерским фирмам и биржевому комитету. Развитие новых форм размещения ценных бумаг </w:t>
      </w:r>
      <w:r w:rsidRPr="00507FCF">
        <w:rPr>
          <w:rFonts w:ascii="Times New Roman" w:hAnsi="Times New Roman"/>
          <w:sz w:val="28"/>
          <w:szCs w:val="28"/>
        </w:rPr>
        <w:lastRenderedPageBreak/>
        <w:t>способствовало созданию нескольких рынков торговли фиктивным капиталом, которые продолжают активно функционировать в настоящее время и подрывать деятельность биржи, сводя иногда ее роль к регистрации котировок ценных бумаг во внебиржевом обороте. Как известно, существует несколько рынков ценных бумаг, которые дифференцируются в зависимости как от методов размещения акций и облигаций, так и от сроков их выпуска.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Однако ослабление роли биржи, особенно в последние годы, не меняет ее значения в торговле ценными бумагами, поскольку сохраняется концентрация и централизация капитала на самой бирже, возрастает уровень компьютеризации ее операций, совершенствуются формы и методы сбора, доставки и обработки информации, осуществляется прямое государственное регулирование биржевых операций, нарастают тенденции интернационализации биржевых сделок. Современная фондовая биржа имеет информационный характер, поскольку, обслуживая рынок капиталов и кредитно-финансовые институты, она стала своеобразной базой данных. Биржа тесно связана с многочисленными информационно-консультативными фирмами, торгующими информацией, представляющей интерес для корпораций и кредитно-финансовых институтов. Обмен информацией между биржей и этими компаниями позволяет инвесторам принимать оптимальные решения по вложениям.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Дальнейшей концентрации и централизации капитала на бирже способствовала волна банкротств и биржевых крахов, обусловленных ухудшением экономической конъюнктуры, большими масштабами спекулятивных сделок.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Сложившиеся тенденции отражают усиление конкуренции на рынке ценных бумаг. Обострение противоречий между биржей и ее конкурентами привело к подрыву монопольных позиций биржи как рынка фиктивного капитала.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Концентрация мощи торгово-промышленных монополий и кредитно-финансовых институтов обусловила определенную зависимость брокерских </w:t>
      </w:r>
      <w:r w:rsidRPr="00507FCF">
        <w:rPr>
          <w:rFonts w:ascii="Times New Roman" w:hAnsi="Times New Roman"/>
          <w:sz w:val="28"/>
          <w:szCs w:val="28"/>
        </w:rPr>
        <w:lastRenderedPageBreak/>
        <w:t>фирм от своих клиентов, по существу превратила их в дочерние компании. В результате их роль в посредничестве снижается, а размер комиссионных уменьшается, так как кредитно-финансовые институты сами непосредственно занимаются сделками с ценными бумагами.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Вытеснение независимых брокеров крупными брокерскими компаниями, инвестиционными банками и банкирскими домами, а индивидуальных владельцев пакетов ценных бумаг — коллективными отражает процесс монополизации биржи. В начале 1960-х годов на кредитно-финансовые институты приходилось 35% стоимости оборота ценных бумаг Нью-Йоркской фондовой биржи, но уже в 1970—1980-х годах их доля составила 70%, а на других биржах достигала 90%.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Важную форму владения фиктивным капиталом представляют акции, особенно обыкновенные, дающие право голоса на собраниях акционеров крупных корпораций.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Монополизация биржевых сделок существенно подрывает действие закона спроса и предложения, </w:t>
      </w:r>
      <w:proofErr w:type="gramStart"/>
      <w:r w:rsidRPr="00507FCF">
        <w:rPr>
          <w:rFonts w:ascii="Times New Roman" w:hAnsi="Times New Roman"/>
          <w:sz w:val="28"/>
          <w:szCs w:val="28"/>
        </w:rPr>
        <w:t>нарушая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таким образом механизм </w:t>
      </w:r>
      <w:proofErr w:type="spellStart"/>
      <w:r w:rsidRPr="00507FCF">
        <w:rPr>
          <w:rFonts w:ascii="Times New Roman" w:hAnsi="Times New Roman"/>
          <w:sz w:val="28"/>
          <w:szCs w:val="28"/>
        </w:rPr>
        <w:t>саморегуляции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рыночной экономики. Деятельность крупных кредитно-финансовых институтов на рынке ценных бумаг, их единая политика в роли покупателей и продавцов зачастую способствуют развитию спекулятивных тенденций и обусловливают резкие колебания стоимости акций и облигаций на бирже, что в ряде случаев затрудняет приобретение ценных бумаг не только индивидуальными лицами, но и корпорациями.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Монополизация биржевых операций, не устранив конкуренции, усложнила ее механизм. Фондовые биржи превратились в центр многочисленных и довольно глубоких противоречий.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 последние годы монополизация биржи крупными кредитно- финансовыми институтами облегчена вследствие того, что мелкие инвесторы покинули биржу, а также и в результате неустойчивой экономической конъюнктуры в западных странах. Вложение небольших денежных капиталов все больше превращалось в разорительную операцию из-за </w:t>
      </w:r>
      <w:r w:rsidRPr="00507FCF">
        <w:rPr>
          <w:rFonts w:ascii="Times New Roman" w:hAnsi="Times New Roman"/>
          <w:sz w:val="28"/>
          <w:szCs w:val="28"/>
        </w:rPr>
        <w:lastRenderedPageBreak/>
        <w:t>инфляции и частых понижательных колебаний конъюнктуры в 1960—1980-х годах. На тенденцию снижения роли биржи в обороте ценных бумаг указывают также многие зарубежные экономисты. Немецкий исследователь Э. Роде отмечал, что к снижению роли би</w:t>
      </w:r>
      <w:proofErr w:type="gramStart"/>
      <w:r w:rsidRPr="00507FCF">
        <w:rPr>
          <w:rFonts w:ascii="Times New Roman" w:hAnsi="Times New Roman"/>
          <w:sz w:val="28"/>
          <w:szCs w:val="28"/>
        </w:rPr>
        <w:t>рж в ФРГ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привело сокращение их числа, обусловленное тем, что выполняемые ими функции отошли к крупным банкам. В то же время, по его мнению, фондовая биржа продолжает выполнять важную роль в мобилизации временно свободных денежных средств в основном в интересах крупного капитала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proofErr w:type="gramStart"/>
      <w:r w:rsidRPr="00507FCF">
        <w:rPr>
          <w:rFonts w:ascii="Times New Roman" w:hAnsi="Times New Roman"/>
          <w:sz w:val="28"/>
          <w:szCs w:val="28"/>
        </w:rPr>
        <w:t>В настоящее время основные географические центры биржевой торговли и спекуляции расположены в Нью-Йорке (США), Лондоне (Великобритания), Франкфурте-на-Майне (ФРГ), Париже (Франция), Цюрихе (Швейцария), Люксембурге, Токио (Япония), Сингапуре, Сянгане (Гонконге).</w:t>
      </w:r>
      <w:proofErr w:type="gramEnd"/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Господство крупных кредитно-финансовых институтов на бирже в значительной степени способствовало интернационализации рынков ценных бумаг, в том числе и бирж развитых стран, поскольку по своей сути они транснациональны. В настоящее время центральные биржи промышленно развитых стран Запада — это фактически международные рынки, но торговля ценными бумагами ведется в крупных международных центрах или специальных финансовых анклавах небольших стран.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Так, в 1970-х годах Люксембург превратился в крупный международный банковский центр, где ведут операции американские, германские, швейцарские, бельгийские и французские банки. На Люксембургской фондовой бирже лишь незначительная часть ценных бумаг принадлежит частным, правительственным и муниципальных компаниям этой страны (около 69 видов из 806 зарегистрированных), а большая их часть — иностранные ценные бумаги.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 1980-х годах в Японии в связи с развитием рынка иностранных кредитов заметно увеличились число и объемы эмиссий иностранных облигаций в иенах, развился доступный для иностранцев рынок </w:t>
      </w:r>
      <w:proofErr w:type="spellStart"/>
      <w:r w:rsidRPr="00507FCF">
        <w:rPr>
          <w:rFonts w:ascii="Times New Roman" w:hAnsi="Times New Roman"/>
          <w:sz w:val="28"/>
          <w:szCs w:val="28"/>
        </w:rPr>
        <w:t>Gensaki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. На нем одновременно осуществляются покупки (продажи) и перепродажи </w:t>
      </w:r>
      <w:r w:rsidRPr="00507FCF">
        <w:rPr>
          <w:rFonts w:ascii="Times New Roman" w:hAnsi="Times New Roman"/>
          <w:sz w:val="28"/>
          <w:szCs w:val="28"/>
        </w:rPr>
        <w:lastRenderedPageBreak/>
        <w:t>(</w:t>
      </w:r>
      <w:proofErr w:type="spellStart"/>
      <w:r w:rsidRPr="00507FCF">
        <w:rPr>
          <w:rFonts w:ascii="Times New Roman" w:hAnsi="Times New Roman"/>
          <w:sz w:val="28"/>
          <w:szCs w:val="28"/>
        </w:rPr>
        <w:t>перепокупки</w:t>
      </w:r>
      <w:proofErr w:type="spellEnd"/>
      <w:r w:rsidRPr="00507FCF">
        <w:rPr>
          <w:rFonts w:ascii="Times New Roman" w:hAnsi="Times New Roman"/>
          <w:sz w:val="28"/>
          <w:szCs w:val="28"/>
        </w:rPr>
        <w:t>) ценных бумаг в определенные сроки по фиксированным ценам. Участники рынка действуют либо как заемщики, либо как кредиторы в зависимости от типа сделки. Такие операции, как депорт и репорт, стеллажные, с маржей, известные на фондовых биржах рада стран, носят спекулятивный характер.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О масштабах интернационализации биржевого рынка ценных бумаг свидетельствует не только участие в биржевом и внебиржевом обороте иностранных покупателей, но и выпуск на мировой рынок, в частности на рынок евровалют, по существу интернациональных фондовых ценностей, оборот и стоимость которых увеличиваются.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 целях более быстрого продвижения </w:t>
      </w:r>
      <w:proofErr w:type="spellStart"/>
      <w:r w:rsidRPr="00507FCF">
        <w:rPr>
          <w:rFonts w:ascii="Times New Roman" w:hAnsi="Times New Roman"/>
          <w:sz w:val="28"/>
          <w:szCs w:val="28"/>
        </w:rPr>
        <w:t>евроакций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на рынок </w:t>
      </w:r>
      <w:proofErr w:type="spellStart"/>
      <w:proofErr w:type="gramStart"/>
      <w:r w:rsidRPr="00507FCF">
        <w:rPr>
          <w:rFonts w:ascii="Times New Roman" w:hAnsi="Times New Roman"/>
          <w:sz w:val="28"/>
          <w:szCs w:val="28"/>
        </w:rPr>
        <w:t>евро-валют</w:t>
      </w:r>
      <w:proofErr w:type="spellEnd"/>
      <w:proofErr w:type="gramEnd"/>
      <w:r w:rsidRPr="00507FCF">
        <w:rPr>
          <w:rFonts w:ascii="Times New Roman" w:hAnsi="Times New Roman"/>
          <w:sz w:val="28"/>
          <w:szCs w:val="28"/>
        </w:rPr>
        <w:t xml:space="preserve"> летом 2000 г. между Англией, Испанией и ФРГ было принято соглашение о создании объединенной фондовой биржи с центром во Франкфурте-на-Майне — «финансовой столице» Германии. По существу, было принято решение о создании международной фондовой биржи, которая позволит перерабатывать большее количество </w:t>
      </w:r>
      <w:proofErr w:type="spellStart"/>
      <w:r w:rsidRPr="00507FCF">
        <w:rPr>
          <w:rFonts w:ascii="Times New Roman" w:hAnsi="Times New Roman"/>
          <w:sz w:val="28"/>
          <w:szCs w:val="28"/>
        </w:rPr>
        <w:t>евроакций</w:t>
      </w:r>
      <w:proofErr w:type="spellEnd"/>
      <w:r w:rsidRPr="00507FCF">
        <w:rPr>
          <w:rFonts w:ascii="Times New Roman" w:hAnsi="Times New Roman"/>
          <w:sz w:val="28"/>
          <w:szCs w:val="28"/>
        </w:rPr>
        <w:t>, эмитируемых транснациональными корпорациями США, Европы и Японии; с наименьшими издержками размещать свои акции по сравнению с национальными фондовыми биржами. Создание такой международной биржи необходимо и для дальнейшей интеграции в рамках Европейского Союза.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Большое влияние на развитие фондовых бирж на Западе оказало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 xml:space="preserve">появление в 1970—1980-х годах производных ценных бумаг — </w:t>
      </w:r>
      <w:proofErr w:type="spellStart"/>
      <w:r w:rsidRPr="00507FCF">
        <w:rPr>
          <w:rFonts w:ascii="Times New Roman" w:hAnsi="Times New Roman"/>
          <w:sz w:val="28"/>
          <w:szCs w:val="28"/>
        </w:rPr>
        <w:t>деривативов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, занявших заметное место в биржевом обороте ведущих фондовых бирж западных стран. Это, как правило, конвертируемые акции и облигации, варранты, опционы и фьючерсы, зачастую называемые «финансовыми пузырями». В конце 1980-х годов их объем составил 12 </w:t>
      </w:r>
      <w:proofErr w:type="spellStart"/>
      <w:proofErr w:type="gramStart"/>
      <w:r w:rsidRPr="00507FCF">
        <w:rPr>
          <w:rFonts w:ascii="Times New Roman" w:hAnsi="Times New Roman"/>
          <w:sz w:val="28"/>
          <w:szCs w:val="28"/>
        </w:rPr>
        <w:t>трлн</w:t>
      </w:r>
      <w:proofErr w:type="spellEnd"/>
      <w:proofErr w:type="gramEnd"/>
      <w:r w:rsidRPr="00507FCF">
        <w:rPr>
          <w:rFonts w:ascii="Times New Roman" w:hAnsi="Times New Roman"/>
          <w:sz w:val="28"/>
          <w:szCs w:val="28"/>
        </w:rPr>
        <w:t xml:space="preserve"> долл., т.е. в 25 раз превысил объем всего товарооборота на мировом рынке. На начало 1997 г. объем </w:t>
      </w:r>
      <w:proofErr w:type="spellStart"/>
      <w:r w:rsidRPr="00507FCF">
        <w:rPr>
          <w:rFonts w:ascii="Times New Roman" w:hAnsi="Times New Roman"/>
          <w:sz w:val="28"/>
          <w:szCs w:val="28"/>
        </w:rPr>
        <w:t>деривативов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превысил 100 </w:t>
      </w:r>
      <w:proofErr w:type="spellStart"/>
      <w:proofErr w:type="gramStart"/>
      <w:r w:rsidRPr="00507FCF">
        <w:rPr>
          <w:rFonts w:ascii="Times New Roman" w:hAnsi="Times New Roman"/>
          <w:sz w:val="28"/>
          <w:szCs w:val="28"/>
        </w:rPr>
        <w:t>трлн</w:t>
      </w:r>
      <w:proofErr w:type="spellEnd"/>
      <w:proofErr w:type="gramEnd"/>
      <w:r w:rsidRPr="00507FCF">
        <w:rPr>
          <w:rFonts w:ascii="Times New Roman" w:hAnsi="Times New Roman"/>
          <w:sz w:val="28"/>
          <w:szCs w:val="28"/>
        </w:rPr>
        <w:t xml:space="preserve"> долл., а годовой мировой оборот, с </w:t>
      </w:r>
      <w:r w:rsidRPr="00507FCF">
        <w:rPr>
          <w:rFonts w:ascii="Times New Roman" w:hAnsi="Times New Roman"/>
          <w:sz w:val="28"/>
          <w:szCs w:val="28"/>
        </w:rPr>
        <w:lastRenderedPageBreak/>
        <w:t xml:space="preserve">их высокой скоростью, — 1000 </w:t>
      </w:r>
      <w:proofErr w:type="spellStart"/>
      <w:r w:rsidRPr="00507FCF">
        <w:rPr>
          <w:rFonts w:ascii="Times New Roman" w:hAnsi="Times New Roman"/>
          <w:sz w:val="28"/>
          <w:szCs w:val="28"/>
        </w:rPr>
        <w:t>трлн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долл. Распределение </w:t>
      </w:r>
      <w:proofErr w:type="spellStart"/>
      <w:r w:rsidRPr="00507FCF">
        <w:rPr>
          <w:rFonts w:ascii="Times New Roman" w:hAnsi="Times New Roman"/>
          <w:sz w:val="28"/>
          <w:szCs w:val="28"/>
        </w:rPr>
        <w:t>деривативов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, согласно оценке </w:t>
      </w:r>
      <w:proofErr w:type="spellStart"/>
      <w:r w:rsidRPr="00507FCF">
        <w:rPr>
          <w:rFonts w:ascii="Times New Roman" w:hAnsi="Times New Roman"/>
          <w:sz w:val="28"/>
          <w:szCs w:val="28"/>
        </w:rPr>
        <w:t>Шиллеровского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института в Германии, приведено в табл. 1.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Таблица 1. Распределение </w:t>
      </w:r>
      <w:proofErr w:type="spellStart"/>
      <w:r w:rsidRPr="00507FCF">
        <w:rPr>
          <w:rFonts w:ascii="Times New Roman" w:hAnsi="Times New Roman"/>
          <w:sz w:val="28"/>
          <w:szCs w:val="28"/>
        </w:rPr>
        <w:t>деривативов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между промышленно развитыми странами.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019425" cy="2456216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5158" t="45479" r="13896" b="115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456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Почти 70% </w:t>
      </w:r>
      <w:proofErr w:type="spellStart"/>
      <w:r w:rsidRPr="00507FCF">
        <w:rPr>
          <w:rFonts w:ascii="Times New Roman" w:hAnsi="Times New Roman"/>
          <w:sz w:val="28"/>
          <w:szCs w:val="28"/>
        </w:rPr>
        <w:t>деривативов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сосредоточено на фондовых биржах ведущих западных стран, причем свыше 20% — в США и около 12% — в Японии. С увеличением количества </w:t>
      </w:r>
      <w:proofErr w:type="spellStart"/>
      <w:r w:rsidRPr="00507FCF">
        <w:rPr>
          <w:rFonts w:ascii="Times New Roman" w:hAnsi="Times New Roman"/>
          <w:sz w:val="28"/>
          <w:szCs w:val="28"/>
        </w:rPr>
        <w:t>деривативов</w:t>
      </w:r>
      <w:proofErr w:type="spellEnd"/>
      <w:r w:rsidRPr="00507FCF">
        <w:rPr>
          <w:rFonts w:ascii="Times New Roman" w:hAnsi="Times New Roman"/>
          <w:sz w:val="28"/>
          <w:szCs w:val="28"/>
        </w:rPr>
        <w:t xml:space="preserve"> возрос объем операций и статус фондовых бирж как рынка ценных бумаг.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Появление этих ценных бумаг на фондовых биржах усилило интенсивность операций, приводящих к биржевым крахам и потрясениям (Азиатский кризис 1997 г., поразивший фондовые рынки не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 xml:space="preserve">только стран Юго-Восточной </w:t>
      </w:r>
      <w:r w:rsidR="00507FCF">
        <w:rPr>
          <w:rFonts w:ascii="Times New Roman" w:hAnsi="Times New Roman"/>
          <w:sz w:val="28"/>
          <w:szCs w:val="28"/>
        </w:rPr>
        <w:t>Азии, приведший к валютным потря</w:t>
      </w:r>
      <w:r w:rsidRPr="00507FCF">
        <w:rPr>
          <w:rFonts w:ascii="Times New Roman" w:hAnsi="Times New Roman"/>
          <w:sz w:val="28"/>
          <w:szCs w:val="28"/>
        </w:rPr>
        <w:t>сениям, банковским кризисам, к нестабильности экономического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>развития).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Автоматизация и компьютеризация фондовых бирж упростили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>получение конфиденциальной информации в рамках собственных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>корпораций, что обусловило б</w:t>
      </w:r>
      <w:r w:rsidR="00507FCF">
        <w:rPr>
          <w:rFonts w:ascii="Times New Roman" w:hAnsi="Times New Roman"/>
          <w:sz w:val="28"/>
          <w:szCs w:val="28"/>
        </w:rPr>
        <w:t>ыстрое обогащение биржевых игро</w:t>
      </w:r>
      <w:r w:rsidRPr="00507FCF">
        <w:rPr>
          <w:rFonts w:ascii="Times New Roman" w:hAnsi="Times New Roman"/>
          <w:sz w:val="28"/>
          <w:szCs w:val="28"/>
        </w:rPr>
        <w:t>ков (1970—1980-е годы в США). Кроме того, чрезмерное доверие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 xml:space="preserve">прогнозам ЭВМ, касающимся </w:t>
      </w:r>
      <w:r w:rsidR="00507FCF">
        <w:rPr>
          <w:rFonts w:ascii="Times New Roman" w:hAnsi="Times New Roman"/>
          <w:sz w:val="28"/>
          <w:szCs w:val="28"/>
        </w:rPr>
        <w:t>динамики курса акций, при приня</w:t>
      </w:r>
      <w:r w:rsidRPr="00507FCF">
        <w:rPr>
          <w:rFonts w:ascii="Times New Roman" w:hAnsi="Times New Roman"/>
          <w:sz w:val="28"/>
          <w:szCs w:val="28"/>
        </w:rPr>
        <w:t>тии инвестиционных решений в</w:t>
      </w:r>
      <w:r w:rsidR="00507FCF">
        <w:rPr>
          <w:rFonts w:ascii="Times New Roman" w:hAnsi="Times New Roman"/>
          <w:sz w:val="28"/>
          <w:szCs w:val="28"/>
        </w:rPr>
        <w:t xml:space="preserve"> ряде случаев приводило к значи</w:t>
      </w:r>
      <w:r w:rsidRPr="00507FCF">
        <w:rPr>
          <w:rFonts w:ascii="Times New Roman" w:hAnsi="Times New Roman"/>
          <w:sz w:val="28"/>
          <w:szCs w:val="28"/>
        </w:rPr>
        <w:t xml:space="preserve">тельным потерям в операциях </w:t>
      </w:r>
      <w:r w:rsidR="00507FCF">
        <w:rPr>
          <w:rFonts w:ascii="Times New Roman" w:hAnsi="Times New Roman"/>
          <w:sz w:val="28"/>
          <w:szCs w:val="28"/>
        </w:rPr>
        <w:t>с ценными бумагами. Индивидуаль</w:t>
      </w:r>
      <w:r w:rsidRPr="00507FCF">
        <w:rPr>
          <w:rFonts w:ascii="Times New Roman" w:hAnsi="Times New Roman"/>
          <w:sz w:val="28"/>
          <w:szCs w:val="28"/>
        </w:rPr>
        <w:t>ное финансовое чутье брокера, игр</w:t>
      </w:r>
      <w:r w:rsidR="00507FCF">
        <w:rPr>
          <w:rFonts w:ascii="Times New Roman" w:hAnsi="Times New Roman"/>
          <w:sz w:val="28"/>
          <w:szCs w:val="28"/>
        </w:rPr>
        <w:t>ока, спекулянта стало подменять</w:t>
      </w:r>
      <w:r w:rsidRPr="00507FCF">
        <w:rPr>
          <w:rFonts w:ascii="Times New Roman" w:hAnsi="Times New Roman"/>
          <w:sz w:val="28"/>
          <w:szCs w:val="28"/>
        </w:rPr>
        <w:t>ся чутьем машины, что оберну</w:t>
      </w:r>
      <w:r w:rsidR="00507FCF">
        <w:rPr>
          <w:rFonts w:ascii="Times New Roman" w:hAnsi="Times New Roman"/>
          <w:sz w:val="28"/>
          <w:szCs w:val="28"/>
        </w:rPr>
        <w:t>лось значительными денежными по</w:t>
      </w:r>
      <w:r w:rsidRPr="00507FCF">
        <w:rPr>
          <w:rFonts w:ascii="Times New Roman" w:hAnsi="Times New Roman"/>
          <w:sz w:val="28"/>
          <w:szCs w:val="28"/>
        </w:rPr>
        <w:t>терями на фондовых биржах в 1970—1990-х годах.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lastRenderedPageBreak/>
        <w:t>Фондовая биржа как вторичный рынок ценных бумаг прошла</w:t>
      </w:r>
      <w:r w:rsidR="00507FCF">
        <w:rPr>
          <w:rFonts w:ascii="Times New Roman" w:hAnsi="Times New Roman"/>
          <w:sz w:val="28"/>
          <w:szCs w:val="28"/>
        </w:rPr>
        <w:t xml:space="preserve"> </w:t>
      </w:r>
      <w:r w:rsidRPr="00507FCF">
        <w:rPr>
          <w:rFonts w:ascii="Times New Roman" w:hAnsi="Times New Roman"/>
          <w:sz w:val="28"/>
          <w:szCs w:val="28"/>
        </w:rPr>
        <w:t>значительное эволюционное развит</w:t>
      </w:r>
      <w:r w:rsidR="00507FCF">
        <w:rPr>
          <w:rFonts w:ascii="Times New Roman" w:hAnsi="Times New Roman"/>
          <w:sz w:val="28"/>
          <w:szCs w:val="28"/>
        </w:rPr>
        <w:t>ие, что-то сохранив из накоплен</w:t>
      </w:r>
      <w:r w:rsidRPr="00507FCF">
        <w:rPr>
          <w:rFonts w:ascii="Times New Roman" w:hAnsi="Times New Roman"/>
          <w:sz w:val="28"/>
          <w:szCs w:val="28"/>
        </w:rPr>
        <w:t>ного опыта, что-то утратив, обогатившись новым опытом, и по-прежнему продолжает играть важную роль.[2, с. 96-102].</w:t>
      </w:r>
    </w:p>
    <w:p w:rsidR="000C309B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  <w:r w:rsidRPr="00507FCF">
        <w:rPr>
          <w:rFonts w:ascii="Times New Roman" w:hAnsi="Times New Roman"/>
          <w:b/>
          <w:sz w:val="28"/>
          <w:szCs w:val="28"/>
        </w:rPr>
        <w:t>Современное состояние вторичного рынка.</w:t>
      </w:r>
    </w:p>
    <w:p w:rsidR="00507FCF" w:rsidRPr="00507FCF" w:rsidRDefault="00507FCF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proofErr w:type="gramStart"/>
      <w:r w:rsidRPr="00507FCF">
        <w:rPr>
          <w:rFonts w:ascii="Times New Roman" w:eastAsiaTheme="minorHAnsi" w:hAnsi="Times New Roman"/>
          <w:sz w:val="28"/>
          <w:szCs w:val="28"/>
        </w:rPr>
        <w:t>Наиболее крупными и известными фондовыми биржами мира являются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Нью-Йоркская биржа (NYSE), Американская фондовая биржа,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специализирующаяся на акциях высокотехнологичных компаний (NASDAQ),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Американская фондовая биржа «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Амекс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» (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Amex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), Лондонская фондовая биржа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(LSE) и др. В России на данный момент насчитывается 10 фондовых бирж, но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основной и самой крупной является ОАО Московская биржа (до 2012 года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биржа ММВБ-РТС, до 2011 года существовали как две</w:t>
      </w:r>
      <w:proofErr w:type="gramEnd"/>
      <w:r w:rsidRPr="00507FCF">
        <w:rPr>
          <w:rFonts w:ascii="Times New Roman" w:eastAsiaTheme="minorHAnsi" w:hAnsi="Times New Roman"/>
          <w:sz w:val="28"/>
          <w:szCs w:val="28"/>
        </w:rPr>
        <w:t xml:space="preserve"> самостоятельные биржи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– ММВБ и РТС), на которой совершается более 90% торгов России.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Если компания не отвечает требованиям биржи, то торговля акциями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компании может осуществляться на внебиржевом рынке. Во всех странах с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рыночной экономикой внебиржевой рынок ценных бумаг преобладает.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Основным способом оценки конъюнктуры рынка ценных бумаг в целом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или его отдельных секторов является индекс фондового рынка. Путем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сравнения численных значений индексов на конкретный момент времени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можно определить относительную силу или слабость рынка.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Индекс широкого назначения, характеризующий деятельность фондового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рынка в целом, отражает настроения инвесторов в общем положении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экономики. Большинство регулярно приводимых в СМИ индексов являются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индексами широкого назначения, они обобщают ценные бумаги крупных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компаний, внесённых в котировальный список крупнейшей биржи государства: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в Великобритании таковым индексом является FTSE 100, во Франции –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gramStart"/>
      <w:r w:rsidRPr="00507FCF">
        <w:rPr>
          <w:rFonts w:ascii="Times New Roman" w:eastAsiaTheme="minorHAnsi" w:hAnsi="Times New Roman"/>
          <w:sz w:val="28"/>
          <w:szCs w:val="28"/>
        </w:rPr>
        <w:t>С</w:t>
      </w:r>
      <w:proofErr w:type="gramEnd"/>
      <w:r w:rsidRPr="00507FCF">
        <w:rPr>
          <w:rFonts w:ascii="Times New Roman" w:eastAsiaTheme="minorHAnsi" w:hAnsi="Times New Roman"/>
          <w:sz w:val="28"/>
          <w:szCs w:val="28"/>
        </w:rPr>
        <w:t xml:space="preserve">AC 100, в Германии – DAX, в Японии –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Nikkei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225, в России – ММВБ (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Micex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)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и РТС (RTSI), но наиболее популярными остаются </w:t>
      </w:r>
      <w:r w:rsidRPr="00507FCF">
        <w:rPr>
          <w:rFonts w:ascii="Times New Roman" w:eastAsiaTheme="minorHAnsi" w:hAnsi="Times New Roman"/>
          <w:sz w:val="28"/>
          <w:szCs w:val="28"/>
        </w:rPr>
        <w:lastRenderedPageBreak/>
        <w:t xml:space="preserve">американские индексы Доу-Джонса, S&amp;P 100 и сводный индекс NASDAQ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Composite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. Кроме того,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существуют индексы узкого назначения, которые отражают деятельность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определённых секторов рынка, либо деятельность компаний определённого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размера, типа управления или компаний, обобщённых по иному критерию.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Индекс ММВБ (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Micex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) рассчитывается с 1997 г. на основе котировок 30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наиболее ликвидных акций крупнейших российских компаний основных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секторов экономики. Удельный вес капитализации эмитента в индексе ММВБ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не может превышать 15% </w:t>
      </w:r>
      <w:r w:rsidR="00507FCF">
        <w:rPr>
          <w:rFonts w:ascii="Times New Roman" w:eastAsiaTheme="minorHAnsi" w:hAnsi="Times New Roman"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В четвёртом квартале 2012 г. индекс ММВБ имел состав и структуру,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представленную на рисунке 2.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89776" cy="317182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8701" t="32055" r="23356" b="13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776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Рисунок 2 – Состав и структура индекса ММВБ </w:t>
      </w:r>
      <w:proofErr w:type="gramStart"/>
      <w:r w:rsidRPr="00507FCF">
        <w:rPr>
          <w:rFonts w:ascii="Times New Roman" w:eastAsiaTheme="minorHAnsi" w:hAnsi="Times New Roman"/>
          <w:bCs/>
          <w:sz w:val="28"/>
          <w:szCs w:val="28"/>
        </w:rPr>
        <w:t>на конец</w:t>
      </w:r>
      <w:proofErr w:type="gramEnd"/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 2012 года</w:t>
      </w:r>
      <w:r w:rsidR="00507FCF">
        <w:rPr>
          <w:rFonts w:ascii="Times New Roman" w:eastAsiaTheme="minorHAnsi" w:hAnsi="Times New Roman"/>
          <w:bCs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Другой индекс российского фондового рынка – РТС (RTSI),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рассчитывается с сентября 1995 г. на основании акции 50 наиболее ликвидных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 капитализированных российских компаний. Доля акций каждой компании в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индексе не должна превышать 15% </w:t>
      </w:r>
      <w:r w:rsidR="00507FCF">
        <w:rPr>
          <w:rFonts w:ascii="Times New Roman" w:eastAsiaTheme="minorHAnsi" w:hAnsi="Times New Roman"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 xml:space="preserve">Состав и структура индекса РТС </w:t>
      </w:r>
      <w:proofErr w:type="gramStart"/>
      <w:r w:rsidRPr="00507FCF">
        <w:rPr>
          <w:rFonts w:ascii="Times New Roman" w:eastAsiaTheme="minorHAnsi" w:hAnsi="Times New Roman"/>
          <w:sz w:val="28"/>
          <w:szCs w:val="28"/>
        </w:rPr>
        <w:t>на конец</w:t>
      </w:r>
      <w:proofErr w:type="gramEnd"/>
      <w:r w:rsidRPr="00507FCF">
        <w:rPr>
          <w:rFonts w:ascii="Times New Roman" w:eastAsiaTheme="minorHAnsi" w:hAnsi="Times New Roman"/>
          <w:sz w:val="28"/>
          <w:szCs w:val="28"/>
        </w:rPr>
        <w:t xml:space="preserve"> 2012 года представлены на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рисунке 3.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784101" cy="3257550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8060" t="24384" r="15660" b="101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101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Рисунок 3 – Состав и структура индекса РТС </w:t>
      </w:r>
      <w:proofErr w:type="gramStart"/>
      <w:r w:rsidRPr="00507FCF">
        <w:rPr>
          <w:rFonts w:ascii="Times New Roman" w:eastAsiaTheme="minorHAnsi" w:hAnsi="Times New Roman"/>
          <w:bCs/>
          <w:sz w:val="28"/>
          <w:szCs w:val="28"/>
        </w:rPr>
        <w:t>на конец</w:t>
      </w:r>
      <w:proofErr w:type="gramEnd"/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 2012 года</w:t>
      </w:r>
      <w:r w:rsidR="00507FCF">
        <w:rPr>
          <w:rFonts w:ascii="Times New Roman" w:eastAsiaTheme="minorHAnsi" w:hAnsi="Times New Roman"/>
          <w:bCs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Отличия индексов РТС и ММВБ заключаются в следующем: индекс РТС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рассчитывается в долларах, а ММВБ – в рублях. Следовательно, на динамику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индекса РТС оказывает влияние изменение курса доллара: если он падает, то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индекс РТС увеличивается на такую же величину, искажая реальное изменение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цен акций. РТС удобен во времена сильной инфляции, когда рубль падает, 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доллар относительно стабилен. Другим отличием является то, что база расчёта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индекса Р</w:t>
      </w:r>
      <w:proofErr w:type="gramStart"/>
      <w:r w:rsidRPr="00507FCF">
        <w:rPr>
          <w:rFonts w:ascii="Times New Roman" w:eastAsiaTheme="minorHAnsi" w:hAnsi="Times New Roman"/>
          <w:sz w:val="28"/>
          <w:szCs w:val="28"/>
        </w:rPr>
        <w:t>ТС вкл</w:t>
      </w:r>
      <w:proofErr w:type="gramEnd"/>
      <w:r w:rsidRPr="00507FCF">
        <w:rPr>
          <w:rFonts w:ascii="Times New Roman" w:eastAsiaTheme="minorHAnsi" w:hAnsi="Times New Roman"/>
          <w:sz w:val="28"/>
          <w:szCs w:val="28"/>
        </w:rPr>
        <w:t>ючает в себя 50 эмитентов, а ММВБ – 30, т.е. индекс РТС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охватывает более широкий рынок. Проанализировав состав индекса ММВБ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(Рисунок 2) и РТС (Рисунок 3), можно отметить, что наибольшие доли в составе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индекса на текущий момент имеют компании ОАО «ЛУКОЙЛ»,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ОАО «Газпром», ОАО «Сбербанк России», ОАО «Роснефть»,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ОАО «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Уралкалий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». Таким образом, основные российские фондовые индексы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по большей части зависят от состояния нефтегазовой отрасли и тем самым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своей динамикой во многом повторяют динамику цен нефти и газа.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Из-за большого различия акций российского рынка по степени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ликвидности их принято разделять на несколько эшелонов. Акции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высокодоходных и стабильных компаний страны называются «голубыми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lastRenderedPageBreak/>
        <w:t>фишками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» или акциями «первого эшелона». </w:t>
      </w:r>
      <w:r w:rsidRPr="00507FCF">
        <w:rPr>
          <w:rFonts w:ascii="Times New Roman" w:eastAsiaTheme="minorHAnsi" w:hAnsi="Times New Roman"/>
          <w:sz w:val="28"/>
          <w:szCs w:val="28"/>
        </w:rPr>
        <w:t>Их основным преимуществом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является их высокая ликвидность, то есть возможность совершить с ними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сделки в любой момент торговой сессии на фондовой бирже (Рисунок 4).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86450" cy="1883165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15072" t="19452" r="9246" b="39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1883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>Рисунок 4 – Список российских компаний, чьи акции относятся к «голубым фишкам»</w:t>
      </w:r>
      <w:r w:rsidR="00507FCF">
        <w:rPr>
          <w:rFonts w:ascii="Times New Roman" w:eastAsiaTheme="minorHAnsi" w:hAnsi="Times New Roman"/>
          <w:bCs/>
          <w:sz w:val="28"/>
          <w:szCs w:val="28"/>
        </w:rPr>
        <w:t xml:space="preserve"> </w:t>
      </w:r>
      <w:proofErr w:type="gramStart"/>
      <w:r w:rsidRPr="00507FCF">
        <w:rPr>
          <w:rFonts w:ascii="Times New Roman" w:eastAsiaTheme="minorHAnsi" w:hAnsi="Times New Roman"/>
          <w:bCs/>
          <w:sz w:val="28"/>
          <w:szCs w:val="28"/>
        </w:rPr>
        <w:t>на конец</w:t>
      </w:r>
      <w:proofErr w:type="gramEnd"/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 2012 года</w:t>
      </w:r>
      <w:r w:rsidR="00507FCF">
        <w:rPr>
          <w:rFonts w:ascii="Times New Roman" w:eastAsiaTheme="minorHAnsi" w:hAnsi="Times New Roman"/>
          <w:bCs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Кроме того, по степени ликвидности среди акций российского фондового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рынка выделяют акции «второго эшелона» и «третьего эшелона». К акциям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«второго эшелона» относятся акции нестабильных региональных предприятий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низкой ликвидности, причем список акций «второго эшелона» намного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длиннее, чем число «голубых фишек».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86450" cy="2150818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553" t="29589" r="9407" b="23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2150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Рисунок 5 – Список российских компаний, чьи акции входят в «третий эшелон» </w:t>
      </w:r>
      <w:proofErr w:type="gramStart"/>
      <w:r w:rsidRPr="00507FCF">
        <w:rPr>
          <w:rFonts w:ascii="Times New Roman" w:eastAsiaTheme="minorHAnsi" w:hAnsi="Times New Roman"/>
          <w:bCs/>
          <w:sz w:val="28"/>
          <w:szCs w:val="28"/>
        </w:rPr>
        <w:t>на</w:t>
      </w:r>
      <w:r w:rsidR="00507FCF">
        <w:rPr>
          <w:rFonts w:ascii="Times New Roman" w:eastAsiaTheme="minorHAnsi" w:hAnsi="Times New Roman"/>
          <w:bCs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bCs/>
          <w:sz w:val="28"/>
          <w:szCs w:val="28"/>
        </w:rPr>
        <w:t>конец</w:t>
      </w:r>
      <w:proofErr w:type="gramEnd"/>
      <w:r w:rsidRPr="00507FCF">
        <w:rPr>
          <w:rFonts w:ascii="Times New Roman" w:eastAsiaTheme="minorHAnsi" w:hAnsi="Times New Roman"/>
          <w:bCs/>
          <w:sz w:val="28"/>
          <w:szCs w:val="28"/>
        </w:rPr>
        <w:t xml:space="preserve"> 2012 года</w:t>
      </w:r>
      <w:r w:rsidR="00507FCF">
        <w:rPr>
          <w:rFonts w:ascii="Times New Roman" w:eastAsiaTheme="minorHAnsi" w:hAnsi="Times New Roman"/>
          <w:bCs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Ценовая динамика акций «второго эшелона» более активна и порой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непредсказуема, поэтому зачастую эти акции гораздо доходнее, чем акции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«первого эшелона», но в то же время вложения в них более рискованные.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lastRenderedPageBreak/>
        <w:t>Акции «третьего эшелона» – наименее ликвидные акции российского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фондового рынка. Зачастую торги по таким бумагам не ведутся даже на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внебиржевых рынках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. </w:t>
      </w:r>
      <w:r w:rsidRPr="00507FCF">
        <w:rPr>
          <w:rFonts w:ascii="Times New Roman" w:eastAsiaTheme="minorHAnsi" w:hAnsi="Times New Roman"/>
          <w:sz w:val="28"/>
          <w:szCs w:val="28"/>
        </w:rPr>
        <w:t>Совершение сделок с ценными бумагами таких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компаний могу в значительной степени изменить цены на них (Рисунок 5).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>Важнейшим финансовым показателем в управлении финансовыми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рисками, представляющим собой меру риска использования финансового</w:t>
      </w:r>
    </w:p>
    <w:p w:rsidR="000C309B" w:rsidRPr="00507FCF" w:rsidRDefault="00507FCF" w:rsidP="00507FCF">
      <w:pPr>
        <w:autoSpaceDE w:val="0"/>
        <w:autoSpaceDN w:val="0"/>
        <w:adjustRightInd w:val="0"/>
        <w:spacing w:line="360" w:lineRule="auto"/>
        <w:rPr>
          <w:rFonts w:ascii="Times New Roman" w:eastAsiaTheme="minorHAnsi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</w:rPr>
        <w:t xml:space="preserve"> </w:t>
      </w:r>
      <w:r w:rsidR="000C309B" w:rsidRPr="00507FCF">
        <w:rPr>
          <w:rFonts w:ascii="Times New Roman" w:eastAsiaTheme="minorHAnsi" w:hAnsi="Times New Roman"/>
          <w:sz w:val="28"/>
          <w:szCs w:val="28"/>
        </w:rPr>
        <w:t xml:space="preserve">инструмента за заданный промежуток времени, является </w:t>
      </w:r>
      <w:proofErr w:type="spellStart"/>
      <w:r w:rsidR="000C309B" w:rsidRPr="00507FCF">
        <w:rPr>
          <w:rFonts w:ascii="Times New Roman" w:eastAsiaTheme="minorHAnsi" w:hAnsi="Times New Roman"/>
          <w:sz w:val="28"/>
          <w:szCs w:val="28"/>
        </w:rPr>
        <w:t>волатильность</w:t>
      </w:r>
      <w:proofErr w:type="spellEnd"/>
      <w:r w:rsidR="000C309B" w:rsidRPr="00507FCF">
        <w:rPr>
          <w:rFonts w:ascii="Times New Roman" w:eastAsiaTheme="minorHAnsi" w:hAnsi="Times New Roman"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 xml:space="preserve">Выделяют историческую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волатильность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– величину, равную стандартному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отклонению стоимости финансового инструмента за заданный промежуток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времени, рассчитанному на основе истор</w:t>
      </w:r>
      <w:r w:rsidR="00507FCF">
        <w:rPr>
          <w:rFonts w:ascii="Times New Roman" w:eastAsiaTheme="minorHAnsi" w:hAnsi="Times New Roman"/>
          <w:sz w:val="28"/>
          <w:szCs w:val="28"/>
        </w:rPr>
        <w:t>ических данных о его стоимости: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152775" cy="905939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4153" t="21370" r="2234" b="47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9059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 xml:space="preserve">где </w:t>
      </w:r>
      <w:r w:rsidRPr="00507FCF">
        <w:rPr>
          <w:rFonts w:ascii="Times New Roman" w:eastAsia="SymbolMT,Italic" w:hAnsi="Times New Roman"/>
          <w:i/>
          <w:iCs/>
          <w:sz w:val="28"/>
          <w:szCs w:val="28"/>
        </w:rPr>
        <w:t xml:space="preserve">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– </w:t>
      </w:r>
      <w:proofErr w:type="gramStart"/>
      <w:r w:rsidRPr="00507FCF">
        <w:rPr>
          <w:rFonts w:ascii="Times New Roman" w:eastAsiaTheme="minorHAnsi" w:hAnsi="Times New Roman"/>
          <w:sz w:val="28"/>
          <w:szCs w:val="28"/>
        </w:rPr>
        <w:t>историческая</w:t>
      </w:r>
      <w:proofErr w:type="gramEnd"/>
      <w:r w:rsidRPr="00507FCF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волатильность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(стандартное отклонение); </w:t>
      </w:r>
      <w:proofErr w:type="spellStart"/>
      <w:r w:rsidRPr="00507FCF">
        <w:rPr>
          <w:rFonts w:ascii="Times New Roman" w:eastAsiaTheme="minorHAnsi" w:hAnsi="Times New Roman"/>
          <w:i/>
          <w:iCs/>
          <w:sz w:val="28"/>
          <w:szCs w:val="28"/>
        </w:rPr>
        <w:t>n</w:t>
      </w:r>
      <w:proofErr w:type="spellEnd"/>
      <w:r w:rsidRPr="00507FCF">
        <w:rPr>
          <w:rFonts w:ascii="Times New Roman" w:eastAsiaTheme="minorHAnsi" w:hAnsi="Times New Roman"/>
          <w:i/>
          <w:iCs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– количество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наблюдений (количество баров/свечей в рассматриваемом периоде); </w:t>
      </w:r>
      <w:r w:rsidRPr="00507FCF">
        <w:rPr>
          <w:rFonts w:ascii="Times New Roman" w:eastAsiaTheme="minorHAnsi" w:hAnsi="Times New Roman"/>
          <w:i/>
          <w:iCs/>
          <w:sz w:val="28"/>
          <w:szCs w:val="28"/>
        </w:rPr>
        <w:t xml:space="preserve">т </w:t>
      </w:r>
      <w:r w:rsidRPr="00507FCF">
        <w:rPr>
          <w:rFonts w:ascii="Times New Roman" w:eastAsiaTheme="minorHAnsi" w:hAnsi="Times New Roman"/>
          <w:sz w:val="28"/>
          <w:szCs w:val="28"/>
        </w:rPr>
        <w:t>–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математическое ожидание (среднее арифметическое); </w:t>
      </w:r>
      <w:proofErr w:type="spellStart"/>
      <w:r w:rsidRPr="00507FCF">
        <w:rPr>
          <w:rFonts w:ascii="Times New Roman" w:eastAsiaTheme="minorHAnsi" w:hAnsi="Times New Roman"/>
          <w:i/>
          <w:iCs/>
          <w:sz w:val="28"/>
          <w:szCs w:val="28"/>
        </w:rPr>
        <w:t>i</w:t>
      </w:r>
      <w:proofErr w:type="spellEnd"/>
      <w:r w:rsidRPr="00507FCF">
        <w:rPr>
          <w:rFonts w:ascii="Times New Roman" w:eastAsiaTheme="minorHAnsi" w:hAnsi="Times New Roman"/>
          <w:i/>
          <w:iCs/>
          <w:sz w:val="28"/>
          <w:szCs w:val="28"/>
        </w:rPr>
        <w:t xml:space="preserve"> </w:t>
      </w:r>
      <w:proofErr w:type="spellStart"/>
      <w:r w:rsidRPr="00507FCF">
        <w:rPr>
          <w:rFonts w:ascii="Times New Roman" w:eastAsiaTheme="minorHAnsi" w:hAnsi="Times New Roman"/>
          <w:i/>
          <w:iCs/>
          <w:sz w:val="28"/>
          <w:szCs w:val="28"/>
        </w:rPr>
        <w:t>х</w:t>
      </w:r>
      <w:proofErr w:type="spellEnd"/>
      <w:r w:rsidRPr="00507FCF">
        <w:rPr>
          <w:rFonts w:ascii="Times New Roman" w:eastAsiaTheme="minorHAnsi" w:hAnsi="Times New Roman"/>
          <w:i/>
          <w:iCs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– относительное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изменение цены.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sz w:val="28"/>
          <w:szCs w:val="28"/>
        </w:rPr>
        <w:t xml:space="preserve">Непосредственное значение величины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волатильности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определённого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рынка не имеет особой значимости для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трейдера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>. Но он может сравнивать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значения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волатильностей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для разных финансовых инструментов и рынков,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чтобы определить, какой из них более изменчив и, следовательно, более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рискованный. </w:t>
      </w:r>
      <w:proofErr w:type="gramStart"/>
      <w:r w:rsidRPr="00507FCF">
        <w:rPr>
          <w:rFonts w:ascii="Times New Roman" w:eastAsiaTheme="minorHAnsi" w:hAnsi="Times New Roman"/>
          <w:sz w:val="28"/>
          <w:szCs w:val="28"/>
        </w:rPr>
        <w:t>Сравнительный анализ динамики котировок акций ряда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российских и американских компаний за период с 20.07.2009 по 22.09.2009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показал, что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волатильность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на российском рынке в 2-3 раза выше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волатильности</w:t>
      </w:r>
      <w:proofErr w:type="spellEnd"/>
      <w:r w:rsidRPr="00507FCF">
        <w:rPr>
          <w:rFonts w:ascii="Times New Roman" w:eastAsiaTheme="minorHAnsi" w:hAnsi="Times New Roman"/>
          <w:sz w:val="28"/>
          <w:szCs w:val="28"/>
        </w:rPr>
        <w:t xml:space="preserve"> на американском (Рисунок 6, Рисунок 7).</w:t>
      </w:r>
      <w:proofErr w:type="gramEnd"/>
      <w:r w:rsidRPr="00507FCF">
        <w:rPr>
          <w:rFonts w:ascii="Times New Roman" w:eastAsiaTheme="minorHAnsi" w:hAnsi="Times New Roman"/>
          <w:sz w:val="28"/>
          <w:szCs w:val="28"/>
        </w:rPr>
        <w:t xml:space="preserve"> Общепризнано, что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формирующиеся рынки характеризуются высокими значениями </w:t>
      </w:r>
      <w:proofErr w:type="spellStart"/>
      <w:r w:rsidRPr="00507FCF">
        <w:rPr>
          <w:rFonts w:ascii="Times New Roman" w:eastAsiaTheme="minorHAnsi" w:hAnsi="Times New Roman"/>
          <w:sz w:val="28"/>
          <w:szCs w:val="28"/>
        </w:rPr>
        <w:t>волатильности</w:t>
      </w:r>
      <w:proofErr w:type="spellEnd"/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и рыночного риска п</w:t>
      </w:r>
      <w:r w:rsidR="00507FCF">
        <w:rPr>
          <w:rFonts w:ascii="Times New Roman" w:eastAsiaTheme="minorHAnsi" w:hAnsi="Times New Roman"/>
          <w:sz w:val="28"/>
          <w:szCs w:val="28"/>
        </w:rPr>
        <w:t>о сравнению с развитыми рынками.</w:t>
      </w:r>
      <w:r w:rsidRPr="00507FCF">
        <w:rPr>
          <w:rFonts w:ascii="Times New Roman" w:eastAsiaTheme="minorHAnsi" w:hAnsi="Times New Roman"/>
          <w:sz w:val="28"/>
          <w:szCs w:val="28"/>
        </w:rPr>
        <w:t xml:space="preserve"> Поэтому можно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сделать о том, что российский рынок является развивающимся рынком, и его</w:t>
      </w:r>
      <w:r w:rsidR="00507FCF">
        <w:rPr>
          <w:rFonts w:ascii="Times New Roman" w:eastAsiaTheme="minorHAnsi" w:hAnsi="Times New Roman"/>
          <w:sz w:val="28"/>
          <w:szCs w:val="28"/>
        </w:rPr>
        <w:t xml:space="preserve"> </w:t>
      </w:r>
      <w:r w:rsidRPr="00507FCF">
        <w:rPr>
          <w:rFonts w:ascii="Times New Roman" w:eastAsiaTheme="minorHAnsi" w:hAnsi="Times New Roman"/>
          <w:sz w:val="28"/>
          <w:szCs w:val="28"/>
        </w:rPr>
        <w:t>риски выше, чем на рынке США.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81675" cy="2174639"/>
            <wp:effectExtent l="1905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6996" t="21644" r="11812" b="32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1746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>Рисунок 6 – Котировки акций «</w:t>
      </w:r>
      <w:proofErr w:type="spellStart"/>
      <w:r w:rsidRPr="00507FCF">
        <w:rPr>
          <w:rFonts w:ascii="Times New Roman" w:eastAsiaTheme="minorHAnsi" w:hAnsi="Times New Roman"/>
          <w:bCs/>
          <w:sz w:val="28"/>
          <w:szCs w:val="28"/>
        </w:rPr>
        <w:t>Coca-Cola</w:t>
      </w:r>
      <w:proofErr w:type="spellEnd"/>
      <w:r w:rsidRPr="00507FCF">
        <w:rPr>
          <w:rFonts w:ascii="Times New Roman" w:eastAsiaTheme="minorHAnsi" w:hAnsi="Times New Roman"/>
          <w:bCs/>
          <w:sz w:val="28"/>
          <w:szCs w:val="28"/>
        </w:rPr>
        <w:t>»</w:t>
      </w:r>
      <w:r w:rsidR="00507FCF">
        <w:rPr>
          <w:rFonts w:ascii="Times New Roman" w:eastAsiaTheme="minorHAnsi" w:hAnsi="Times New Roman"/>
          <w:bCs/>
          <w:sz w:val="28"/>
          <w:szCs w:val="28"/>
        </w:rPr>
        <w:t>.</w:t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07FCF">
        <w:rPr>
          <w:rFonts w:ascii="Times New Roman" w:eastAsiaTheme="minorHAnsi" w:hAnsi="Times New Roman"/>
          <w:noProof/>
          <w:sz w:val="28"/>
          <w:szCs w:val="28"/>
          <w:lang w:eastAsia="ru-RU"/>
        </w:rPr>
        <w:drawing>
          <wp:inline distT="0" distB="0" distL="0" distR="0">
            <wp:extent cx="5783503" cy="2590800"/>
            <wp:effectExtent l="19050" t="0" r="7697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6034" t="32603" r="13095" b="13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456" cy="2592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507FCF">
        <w:rPr>
          <w:rFonts w:ascii="Times New Roman" w:eastAsiaTheme="minorHAnsi" w:hAnsi="Times New Roman"/>
          <w:bCs/>
          <w:sz w:val="28"/>
          <w:szCs w:val="28"/>
        </w:rPr>
        <w:t>Рисунок 7 – Котировки акций ОАО «Газпром»</w:t>
      </w:r>
      <w:r w:rsidR="00507FCF">
        <w:rPr>
          <w:rFonts w:ascii="Times New Roman" w:eastAsiaTheme="minorHAnsi" w:hAnsi="Times New Roman"/>
          <w:bCs/>
          <w:sz w:val="28"/>
          <w:szCs w:val="28"/>
        </w:rPr>
        <w:t>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  <w:lang w:val="en-US"/>
        </w:rPr>
      </w:pPr>
      <w:r w:rsidRPr="00507FCF">
        <w:rPr>
          <w:rFonts w:ascii="Times New Roman" w:eastAsiaTheme="minorHAnsi" w:hAnsi="Times New Roman"/>
          <w:bCs/>
          <w:color w:val="4F6228"/>
          <w:sz w:val="28"/>
          <w:szCs w:val="28"/>
          <w:lang w:val="en-US"/>
        </w:rPr>
        <w:t>[9, c. 4-10].</w:t>
      </w: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0C309B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507FCF">
      <w:pPr>
        <w:autoSpaceDE w:val="0"/>
        <w:autoSpaceDN w:val="0"/>
        <w:adjustRightInd w:val="0"/>
        <w:spacing w:line="360" w:lineRule="auto"/>
        <w:rPr>
          <w:rFonts w:ascii="Times New Roman" w:eastAsiaTheme="minorHAnsi" w:hAnsi="Times New Roman"/>
          <w:i/>
          <w:iCs/>
          <w:color w:val="000000"/>
          <w:sz w:val="28"/>
          <w:szCs w:val="28"/>
        </w:rPr>
      </w:pPr>
    </w:p>
    <w:p w:rsidR="000C309B" w:rsidRPr="00507FCF" w:rsidRDefault="000C309B" w:rsidP="00507FCF">
      <w:pPr>
        <w:pStyle w:val="1"/>
        <w:spacing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507FCF">
        <w:rPr>
          <w:rFonts w:ascii="Times New Roman" w:hAnsi="Times New Roman" w:cs="Times New Roman"/>
          <w:sz w:val="28"/>
          <w:szCs w:val="28"/>
        </w:rPr>
        <w:lastRenderedPageBreak/>
        <w:t>Контрольные тестовые задания</w:t>
      </w:r>
      <w:r w:rsidR="00507FCF" w:rsidRPr="00507FCF">
        <w:rPr>
          <w:rFonts w:ascii="Times New Roman" w:hAnsi="Times New Roman" w:cs="Times New Roman"/>
          <w:sz w:val="28"/>
          <w:szCs w:val="28"/>
        </w:rPr>
        <w:t>.</w:t>
      </w: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507FCF">
      <w:pPr>
        <w:pStyle w:val="2"/>
        <w:numPr>
          <w:ilvl w:val="0"/>
          <w:numId w:val="3"/>
        </w:numPr>
        <w:tabs>
          <w:tab w:val="clear" w:pos="720"/>
          <w:tab w:val="left" w:pos="567"/>
        </w:tabs>
        <w:spacing w:line="360" w:lineRule="auto"/>
        <w:ind w:left="0" w:firstLine="851"/>
        <w:rPr>
          <w:sz w:val="28"/>
          <w:szCs w:val="28"/>
        </w:rPr>
      </w:pPr>
      <w:r w:rsidRPr="00507FCF">
        <w:rPr>
          <w:sz w:val="28"/>
          <w:szCs w:val="28"/>
        </w:rPr>
        <w:t xml:space="preserve">Деятельность любой биржи  регламентируется  </w:t>
      </w:r>
      <w:r w:rsidRPr="00507FCF">
        <w:rPr>
          <w:i/>
          <w:sz w:val="28"/>
          <w:szCs w:val="28"/>
        </w:rPr>
        <w:t>уставом</w:t>
      </w:r>
      <w:r w:rsidRPr="00507FCF">
        <w:rPr>
          <w:sz w:val="28"/>
          <w:szCs w:val="28"/>
        </w:rPr>
        <w:t>, которому обязаны подчиняться её члены.</w:t>
      </w:r>
    </w:p>
    <w:p w:rsidR="000C309B" w:rsidRPr="00507FCF" w:rsidRDefault="000C309B" w:rsidP="00507FCF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507FCF">
      <w:pPr>
        <w:pStyle w:val="2"/>
        <w:numPr>
          <w:ilvl w:val="0"/>
          <w:numId w:val="3"/>
        </w:numPr>
        <w:tabs>
          <w:tab w:val="clear" w:pos="720"/>
          <w:tab w:val="left" w:pos="567"/>
        </w:tabs>
        <w:spacing w:line="360" w:lineRule="auto"/>
        <w:ind w:left="0" w:firstLine="851"/>
        <w:rPr>
          <w:sz w:val="28"/>
          <w:szCs w:val="28"/>
        </w:rPr>
      </w:pPr>
      <w:r w:rsidRPr="00507FCF">
        <w:rPr>
          <w:sz w:val="28"/>
          <w:szCs w:val="28"/>
        </w:rPr>
        <w:t xml:space="preserve">Получение прибыли  </w:t>
      </w:r>
      <w:r w:rsidRPr="00507FCF">
        <w:rPr>
          <w:i/>
          <w:sz w:val="28"/>
          <w:szCs w:val="28"/>
        </w:rPr>
        <w:t>не является</w:t>
      </w:r>
      <w:r w:rsidRPr="00507FCF">
        <w:rPr>
          <w:sz w:val="28"/>
          <w:szCs w:val="28"/>
        </w:rPr>
        <w:t xml:space="preserve"> главной целью  деятельности  фондовой биржи.</w:t>
      </w:r>
    </w:p>
    <w:p w:rsidR="000C309B" w:rsidRPr="00507FCF" w:rsidRDefault="000C309B" w:rsidP="00507FCF">
      <w:pPr>
        <w:pStyle w:val="a5"/>
        <w:spacing w:line="360" w:lineRule="auto"/>
        <w:ind w:left="0" w:firstLine="851"/>
        <w:rPr>
          <w:rFonts w:ascii="Times New Roman" w:hAnsi="Times New Roman"/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0C309B">
      <w:pPr>
        <w:pStyle w:val="2"/>
        <w:tabs>
          <w:tab w:val="left" w:pos="567"/>
        </w:tabs>
        <w:spacing w:line="360" w:lineRule="auto"/>
        <w:ind w:firstLine="851"/>
        <w:rPr>
          <w:sz w:val="28"/>
          <w:szCs w:val="28"/>
        </w:rPr>
      </w:pPr>
    </w:p>
    <w:p w:rsidR="000C309B" w:rsidRPr="00507FCF" w:rsidRDefault="000C309B" w:rsidP="00507FCF">
      <w:pPr>
        <w:pStyle w:val="1"/>
        <w:spacing w:after="240" w:line="360" w:lineRule="auto"/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507FCF">
        <w:rPr>
          <w:rFonts w:ascii="Times New Roman" w:hAnsi="Times New Roman" w:cs="Times New Roman"/>
          <w:sz w:val="28"/>
          <w:szCs w:val="28"/>
        </w:rPr>
        <w:lastRenderedPageBreak/>
        <w:t>Задача</w:t>
      </w:r>
      <w:r w:rsidR="00507FCF" w:rsidRPr="00507FCF">
        <w:rPr>
          <w:rFonts w:ascii="Times New Roman" w:hAnsi="Times New Roman" w:cs="Times New Roman"/>
          <w:sz w:val="28"/>
          <w:szCs w:val="28"/>
        </w:rPr>
        <w:t>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Акционерное общество «Панама» ликвидируется как неплатежеспособное. Уставный капитал АО «Панама» состоит из 2 000 привилегированных акций и 8 000 обыкновенных акций с номиналом 100 рублей. Обществом также были выпущены дисконтные облигации общим номиналом 1 000 </w:t>
      </w:r>
      <w:proofErr w:type="spellStart"/>
      <w:r w:rsidRPr="00507FCF">
        <w:rPr>
          <w:rFonts w:ascii="Times New Roman" w:hAnsi="Times New Roman"/>
          <w:sz w:val="28"/>
          <w:szCs w:val="28"/>
        </w:rPr>
        <w:t>000</w:t>
      </w:r>
      <w:proofErr w:type="spellEnd"/>
      <w:r w:rsidRPr="00507FCF">
        <w:rPr>
          <w:rFonts w:ascii="Times New Roman" w:hAnsi="Times New Roman"/>
          <w:sz w:val="28"/>
          <w:szCs w:val="28"/>
        </w:rPr>
        <w:t>, размещенные на рынке по цене 80 %, и привлечены кредиты на сумму 500 000 руб. Имущество общества, составившее конкурсную массу, было реализовано на сумму 3 млн. руб. Какую сумму получат акционеры – владельцы обыкн. акций (в расчете на 1 акцию).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b/>
          <w:i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 xml:space="preserve">Решение: 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Сначала необходимо определить чистые активы АО.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По условию, имущество общества, составившее конкурсную массу, было реализовано на сумму 3 млн. рублей. Из него гасятся заемные средства: </w:t>
      </w:r>
      <w:proofErr w:type="gramStart"/>
      <w:r w:rsidRPr="00507FCF">
        <w:rPr>
          <w:rFonts w:ascii="Times New Roman" w:hAnsi="Times New Roman"/>
          <w:sz w:val="28"/>
          <w:szCs w:val="28"/>
        </w:rPr>
        <w:t>выпущены дисконтные облигации общим номиналом 1 000 000 + привлечены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кредиты на сумму 500 000 рублей.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Таким образом,  Чистые Активы = 3 млн. рублей – 1 млн. рублей – 0,5 млн. рублей = 1,5 млн. рублей.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После выплат долгов оставшуюся часть от чистых активов распределяют между акционерами </w:t>
      </w:r>
      <w:proofErr w:type="gramStart"/>
      <w:r w:rsidRPr="00507FCF">
        <w:rPr>
          <w:rFonts w:ascii="Times New Roman" w:hAnsi="Times New Roman"/>
          <w:sz w:val="28"/>
          <w:szCs w:val="28"/>
        </w:rPr>
        <w:t>согласно</w:t>
      </w:r>
      <w:proofErr w:type="gramEnd"/>
      <w:r w:rsidRPr="00507FCF">
        <w:rPr>
          <w:rFonts w:ascii="Times New Roman" w:hAnsi="Times New Roman"/>
          <w:sz w:val="28"/>
          <w:szCs w:val="28"/>
        </w:rPr>
        <w:t xml:space="preserve"> внесенных сумм в уставный капитал.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Акционерам остается 3-1,5=1,5 млн. рублей.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>Из оставшейся массы в первую очередь удовлетворяются требования владельцев привилегированных акций: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 2 000</w:t>
      </w:r>
      <w:r w:rsidRPr="00507FCF">
        <w:rPr>
          <w:rFonts w:ascii="Times New Roman" w:hAnsi="Times New Roman"/>
          <w:position w:val="-4"/>
          <w:sz w:val="28"/>
          <w:szCs w:val="28"/>
        </w:rPr>
        <w:object w:dxaOrig="180" w:dyaOrig="2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pt;height:9.75pt" o:ole="">
            <v:imagedata r:id="rId19" o:title=""/>
          </v:shape>
          <o:OLEObject Type="Embed" ProgID="Equation.3" ShapeID="_x0000_i1025" DrawAspect="Content" ObjectID="_1447512018" r:id="rId20"/>
        </w:object>
      </w:r>
      <w:r w:rsidRPr="00507FCF">
        <w:rPr>
          <w:rFonts w:ascii="Times New Roman" w:hAnsi="Times New Roman"/>
          <w:sz w:val="28"/>
          <w:szCs w:val="28"/>
        </w:rPr>
        <w:t>100 = 200 тыс. руб.</w:t>
      </w:r>
    </w:p>
    <w:p w:rsidR="000C309B" w:rsidRPr="00507FCF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Владельцам обыкновенных акций остается 1300 тыс. </w:t>
      </w:r>
      <w:proofErr w:type="spellStart"/>
      <w:r w:rsidRPr="00507FCF">
        <w:rPr>
          <w:rFonts w:ascii="Times New Roman" w:hAnsi="Times New Roman"/>
          <w:sz w:val="28"/>
          <w:szCs w:val="28"/>
        </w:rPr>
        <w:t>руб</w:t>
      </w:r>
      <w:proofErr w:type="spellEnd"/>
      <w:r w:rsidRPr="00507FCF">
        <w:rPr>
          <w:rFonts w:ascii="Times New Roman" w:hAnsi="Times New Roman"/>
          <w:sz w:val="28"/>
          <w:szCs w:val="28"/>
        </w:rPr>
        <w:t>, или  1300000/8000=162,5 рублей на 1 акцию.</w:t>
      </w:r>
    </w:p>
    <w:p w:rsidR="000C309B" w:rsidRDefault="000C309B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b/>
          <w:i/>
          <w:sz w:val="28"/>
          <w:szCs w:val="28"/>
        </w:rPr>
        <w:t>Ответ:</w:t>
      </w:r>
      <w:r w:rsidRPr="00507FCF">
        <w:rPr>
          <w:rFonts w:ascii="Times New Roman" w:hAnsi="Times New Roman"/>
          <w:sz w:val="28"/>
          <w:szCs w:val="28"/>
        </w:rPr>
        <w:t xml:space="preserve"> владельцы обыкновенных акций получат 162,5 рублей на 1 акцию.</w:t>
      </w:r>
    </w:p>
    <w:p w:rsidR="00507FCF" w:rsidRDefault="00507FCF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:rsidR="00507FCF" w:rsidRDefault="00507FCF" w:rsidP="000C309B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:rsidR="00507FCF" w:rsidRPr="00666F22" w:rsidRDefault="00507FCF" w:rsidP="00507FCF">
      <w:pPr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</w:rPr>
      </w:pPr>
      <w:r w:rsidRPr="00666F22">
        <w:rPr>
          <w:rFonts w:ascii="Times New Roman" w:hAnsi="Times New Roman"/>
          <w:b/>
          <w:sz w:val="28"/>
          <w:szCs w:val="28"/>
        </w:rPr>
        <w:lastRenderedPageBreak/>
        <w:t>Список используемой литературы:</w:t>
      </w:r>
    </w:p>
    <w:p w:rsidR="00507FCF" w:rsidRPr="00666F22" w:rsidRDefault="00507FCF" w:rsidP="00507FCF">
      <w:pPr>
        <w:spacing w:line="360" w:lineRule="auto"/>
        <w:ind w:firstLine="851"/>
        <w:jc w:val="center"/>
        <w:rPr>
          <w:rFonts w:ascii="Times New Roman" w:hAnsi="Times New Roman"/>
          <w:sz w:val="28"/>
          <w:szCs w:val="28"/>
        </w:rPr>
      </w:pPr>
    </w:p>
    <w:p w:rsidR="00507FCF" w:rsidRPr="00666F22" w:rsidRDefault="00507FCF" w:rsidP="00507FCF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666F22">
        <w:rPr>
          <w:rFonts w:ascii="Times New Roman" w:hAnsi="Times New Roman"/>
          <w:sz w:val="28"/>
          <w:szCs w:val="28"/>
        </w:rPr>
        <w:t>Габов</w:t>
      </w:r>
      <w:proofErr w:type="spellEnd"/>
      <w:r w:rsidRPr="00666F22">
        <w:rPr>
          <w:rFonts w:ascii="Times New Roman" w:hAnsi="Times New Roman"/>
          <w:sz w:val="28"/>
          <w:szCs w:val="28"/>
        </w:rPr>
        <w:t xml:space="preserve"> А. В.Ценные бумаги: вопросы теории и регулирования правового рынка. М.: Статут, 2011. – 1104 </w:t>
      </w:r>
      <w:proofErr w:type="gramStart"/>
      <w:r w:rsidRPr="00666F22">
        <w:rPr>
          <w:rFonts w:ascii="Times New Roman" w:hAnsi="Times New Roman"/>
          <w:sz w:val="28"/>
          <w:szCs w:val="28"/>
        </w:rPr>
        <w:t>с</w:t>
      </w:r>
      <w:proofErr w:type="gramEnd"/>
      <w:r w:rsidRPr="00666F22">
        <w:rPr>
          <w:rFonts w:ascii="Times New Roman" w:hAnsi="Times New Roman"/>
          <w:sz w:val="28"/>
          <w:szCs w:val="28"/>
        </w:rPr>
        <w:t>.</w:t>
      </w:r>
    </w:p>
    <w:p w:rsidR="00507FCF" w:rsidRPr="00666F22" w:rsidRDefault="00507FCF" w:rsidP="00507FCF">
      <w:pPr>
        <w:pStyle w:val="a5"/>
        <w:numPr>
          <w:ilvl w:val="0"/>
          <w:numId w:val="4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666F22">
        <w:rPr>
          <w:rFonts w:ascii="Times New Roman" w:hAnsi="Times New Roman"/>
          <w:sz w:val="28"/>
          <w:szCs w:val="28"/>
        </w:rPr>
        <w:t>Жуков Е.Ф. Рынок ценных бумаг: учебник.— М.: ЮНИТИ-ДАНА, 2009. - 567 с.</w:t>
      </w:r>
    </w:p>
    <w:p w:rsidR="00507FCF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Pr="00666F22">
        <w:rPr>
          <w:rFonts w:ascii="Times New Roman" w:hAnsi="Times New Roman"/>
          <w:sz w:val="28"/>
          <w:szCs w:val="28"/>
        </w:rPr>
        <w:t>Ключников И.К. Фондовая биржа. – М.: Финансы и стат</w:t>
      </w:r>
      <w:r>
        <w:rPr>
          <w:rFonts w:ascii="Times New Roman" w:hAnsi="Times New Roman"/>
          <w:sz w:val="28"/>
          <w:szCs w:val="28"/>
        </w:rPr>
        <w:t xml:space="preserve">истика; ИНФРА-М, 2009. – 200 </w:t>
      </w:r>
      <w:proofErr w:type="gramStart"/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507FCF" w:rsidRPr="00666F22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Pr="00666F22">
        <w:rPr>
          <w:rFonts w:ascii="Times New Roman" w:hAnsi="Times New Roman"/>
          <w:sz w:val="28"/>
          <w:szCs w:val="28"/>
        </w:rPr>
        <w:t>Ломтатидзе О.В., Львова М.И., Болотин А.В. Базовый курс по рынку ценных бумаг</w:t>
      </w:r>
      <w:proofErr w:type="gramStart"/>
      <w:r w:rsidRPr="00666F22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666F22">
        <w:rPr>
          <w:rFonts w:ascii="Times New Roman" w:hAnsi="Times New Roman"/>
          <w:sz w:val="28"/>
          <w:szCs w:val="28"/>
        </w:rPr>
        <w:t xml:space="preserve"> учебное пособие. - М.: КНОРУС, 2010. - 448 с.</w:t>
      </w:r>
    </w:p>
    <w:p w:rsidR="00507FCF" w:rsidRPr="00666F22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5. </w:t>
      </w:r>
      <w:r w:rsidRPr="00666F22">
        <w:rPr>
          <w:rFonts w:ascii="Times New Roman" w:hAnsi="Times New Roman"/>
          <w:sz w:val="28"/>
          <w:szCs w:val="28"/>
        </w:rPr>
        <w:t xml:space="preserve">Лялин В.А., Воробьев П.В. Рынок ценных бумаг. – М.: Проспект, 2009. – 384 </w:t>
      </w:r>
      <w:proofErr w:type="gramStart"/>
      <w:r w:rsidRPr="00666F22">
        <w:rPr>
          <w:rFonts w:ascii="Times New Roman" w:hAnsi="Times New Roman"/>
          <w:sz w:val="28"/>
          <w:szCs w:val="28"/>
        </w:rPr>
        <w:t>с</w:t>
      </w:r>
      <w:proofErr w:type="gramEnd"/>
      <w:r w:rsidRPr="00666F22">
        <w:rPr>
          <w:rFonts w:ascii="Times New Roman" w:hAnsi="Times New Roman"/>
          <w:sz w:val="28"/>
          <w:szCs w:val="28"/>
        </w:rPr>
        <w:t>.</w:t>
      </w:r>
    </w:p>
    <w:p w:rsidR="00507FCF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6. </w:t>
      </w:r>
      <w:r w:rsidRPr="00666F22">
        <w:rPr>
          <w:rFonts w:ascii="Times New Roman" w:hAnsi="Times New Roman"/>
          <w:sz w:val="28"/>
          <w:szCs w:val="28"/>
        </w:rPr>
        <w:t xml:space="preserve">Николаева И.П. Рынок ценных бумаг. – М.: ЮНИТИ-ДАНА, 2010. – 223 с. </w:t>
      </w:r>
    </w:p>
    <w:p w:rsidR="00507FCF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7. </w:t>
      </w:r>
      <w:r w:rsidRPr="00666F22">
        <w:rPr>
          <w:rFonts w:ascii="Times New Roman" w:hAnsi="Times New Roman"/>
          <w:sz w:val="28"/>
          <w:szCs w:val="28"/>
        </w:rPr>
        <w:t xml:space="preserve">Никифорова В.Д. Рынок ценных бумаг: Учебное пособие. – СПб.: Изд-во </w:t>
      </w:r>
      <w:proofErr w:type="spellStart"/>
      <w:r w:rsidRPr="00666F22">
        <w:rPr>
          <w:rFonts w:ascii="Times New Roman" w:hAnsi="Times New Roman"/>
          <w:sz w:val="28"/>
          <w:szCs w:val="28"/>
        </w:rPr>
        <w:t>СПбГУЭФ</w:t>
      </w:r>
      <w:proofErr w:type="spellEnd"/>
      <w:r w:rsidRPr="00666F22">
        <w:rPr>
          <w:rFonts w:ascii="Times New Roman" w:hAnsi="Times New Roman"/>
          <w:sz w:val="28"/>
          <w:szCs w:val="28"/>
        </w:rPr>
        <w:t xml:space="preserve">, 2010. – 160 </w:t>
      </w:r>
      <w:proofErr w:type="gramStart"/>
      <w:r w:rsidRPr="00666F22">
        <w:rPr>
          <w:rFonts w:ascii="Times New Roman" w:hAnsi="Times New Roman"/>
          <w:sz w:val="28"/>
          <w:szCs w:val="28"/>
        </w:rPr>
        <w:t>с</w:t>
      </w:r>
      <w:proofErr w:type="gramEnd"/>
      <w:r w:rsidRPr="00666F22">
        <w:rPr>
          <w:rFonts w:ascii="Times New Roman" w:hAnsi="Times New Roman"/>
          <w:sz w:val="28"/>
          <w:szCs w:val="28"/>
        </w:rPr>
        <w:t xml:space="preserve">. </w:t>
      </w:r>
    </w:p>
    <w:p w:rsidR="00507FCF" w:rsidRPr="00666F22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8. </w:t>
      </w:r>
      <w:proofErr w:type="spellStart"/>
      <w:r w:rsidRPr="00666F22">
        <w:rPr>
          <w:rFonts w:ascii="Times New Roman" w:hAnsi="Times New Roman"/>
          <w:sz w:val="28"/>
          <w:szCs w:val="28"/>
        </w:rPr>
        <w:t>Соснаускене</w:t>
      </w:r>
      <w:proofErr w:type="spellEnd"/>
      <w:r w:rsidRPr="00666F22">
        <w:rPr>
          <w:rFonts w:ascii="Times New Roman" w:hAnsi="Times New Roman"/>
          <w:sz w:val="28"/>
          <w:szCs w:val="28"/>
        </w:rPr>
        <w:t xml:space="preserve"> О. И.. Учет ценных бумаг и валютных операций /</w:t>
      </w:r>
      <w:proofErr w:type="gramStart"/>
      <w:r w:rsidRPr="00666F22">
        <w:rPr>
          <w:rFonts w:ascii="Times New Roman" w:hAnsi="Times New Roman"/>
          <w:sz w:val="28"/>
          <w:szCs w:val="28"/>
        </w:rPr>
        <w:t>–М</w:t>
      </w:r>
      <w:proofErr w:type="gramEnd"/>
      <w:r w:rsidRPr="00666F22">
        <w:rPr>
          <w:rFonts w:ascii="Times New Roman" w:hAnsi="Times New Roman"/>
          <w:sz w:val="28"/>
          <w:szCs w:val="28"/>
        </w:rPr>
        <w:t xml:space="preserve">. : </w:t>
      </w:r>
      <w:proofErr w:type="spellStart"/>
      <w:r w:rsidRPr="00666F22">
        <w:rPr>
          <w:rFonts w:ascii="Times New Roman" w:hAnsi="Times New Roman"/>
          <w:sz w:val="28"/>
          <w:szCs w:val="28"/>
        </w:rPr>
        <w:t>ГроссМедиа</w:t>
      </w:r>
      <w:proofErr w:type="spellEnd"/>
      <w:r w:rsidRPr="00666F22">
        <w:rPr>
          <w:rFonts w:ascii="Times New Roman" w:hAnsi="Times New Roman"/>
          <w:sz w:val="28"/>
          <w:szCs w:val="28"/>
        </w:rPr>
        <w:t xml:space="preserve"> : РОСБУХ, 2009. – 416 с. </w:t>
      </w:r>
    </w:p>
    <w:p w:rsidR="00507FCF" w:rsidRPr="00666F22" w:rsidRDefault="00507FCF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bCs/>
          <w:sz w:val="28"/>
          <w:szCs w:val="28"/>
        </w:rPr>
      </w:pPr>
      <w:r w:rsidRPr="00666F22">
        <w:rPr>
          <w:rFonts w:ascii="Times New Roman" w:eastAsiaTheme="minorHAnsi" w:hAnsi="Times New Roman"/>
          <w:iCs/>
          <w:sz w:val="28"/>
          <w:szCs w:val="28"/>
        </w:rPr>
        <w:t xml:space="preserve">9.  </w:t>
      </w:r>
      <w:proofErr w:type="spellStart"/>
      <w:r w:rsidRPr="00666F22">
        <w:rPr>
          <w:rFonts w:ascii="Times New Roman" w:eastAsiaTheme="minorHAnsi" w:hAnsi="Times New Roman"/>
          <w:iCs/>
          <w:sz w:val="28"/>
          <w:szCs w:val="28"/>
        </w:rPr>
        <w:t>Ситникова</w:t>
      </w:r>
      <w:proofErr w:type="spellEnd"/>
      <w:r w:rsidRPr="00666F22">
        <w:rPr>
          <w:rFonts w:ascii="Times New Roman" w:eastAsiaTheme="minorHAnsi" w:hAnsi="Times New Roman"/>
          <w:iCs/>
          <w:sz w:val="28"/>
          <w:szCs w:val="28"/>
        </w:rPr>
        <w:t xml:space="preserve"> А.Ю.</w:t>
      </w:r>
      <w:r w:rsidRPr="00666F22">
        <w:rPr>
          <w:rFonts w:ascii="Times New Roman" w:eastAsiaTheme="minorHAnsi" w:hAnsi="Times New Roman"/>
          <w:bCs/>
          <w:sz w:val="28"/>
          <w:szCs w:val="28"/>
        </w:rPr>
        <w:t xml:space="preserve"> Анализ состояния рынка ценных бумаг России. ИЗВЕСТИЯ Института экономических исследований Бурятского государственного университета Электронный научный журнал 2012 №1.</w:t>
      </w:r>
    </w:p>
    <w:p w:rsidR="00507FCF" w:rsidRPr="00666F22" w:rsidRDefault="00507FCF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bCs/>
          <w:sz w:val="28"/>
          <w:szCs w:val="28"/>
        </w:rPr>
      </w:pPr>
    </w:p>
    <w:p w:rsidR="00507FCF" w:rsidRPr="00666F22" w:rsidRDefault="00507FCF" w:rsidP="00507FCF">
      <w:pPr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eastAsiaTheme="minorHAnsi" w:hAnsi="Times New Roman"/>
          <w:bCs/>
          <w:sz w:val="28"/>
          <w:szCs w:val="28"/>
        </w:rPr>
      </w:pPr>
      <w:r w:rsidRPr="00666F22">
        <w:rPr>
          <w:rFonts w:ascii="Times New Roman" w:eastAsiaTheme="minorHAnsi" w:hAnsi="Times New Roman"/>
          <w:bCs/>
          <w:sz w:val="28"/>
          <w:szCs w:val="28"/>
        </w:rPr>
        <w:t>Интернет – ресурсы:</w:t>
      </w:r>
    </w:p>
    <w:p w:rsidR="00507FCF" w:rsidRDefault="00507FCF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bCs/>
          <w:sz w:val="28"/>
          <w:szCs w:val="28"/>
        </w:rPr>
      </w:pPr>
      <w:r w:rsidRPr="00666F22">
        <w:rPr>
          <w:rFonts w:ascii="Times New Roman" w:eastAsiaTheme="minorHAnsi" w:hAnsi="Times New Roman"/>
          <w:bCs/>
          <w:sz w:val="28"/>
          <w:szCs w:val="28"/>
        </w:rPr>
        <w:t xml:space="preserve">10. </w:t>
      </w:r>
      <w:hyperlink r:id="rId21" w:history="1">
        <w:r w:rsidRPr="00666F22">
          <w:rPr>
            <w:rStyle w:val="a4"/>
            <w:rFonts w:ascii="Times New Roman" w:eastAsiaTheme="minorHAnsi" w:hAnsi="Times New Roman"/>
            <w:bCs/>
            <w:color w:val="auto"/>
            <w:sz w:val="28"/>
            <w:szCs w:val="28"/>
            <w:u w:val="none"/>
          </w:rPr>
          <w:t>www.rae.ru</w:t>
        </w:r>
      </w:hyperlink>
    </w:p>
    <w:p w:rsidR="00507FCF" w:rsidRPr="00666F22" w:rsidRDefault="00507FCF" w:rsidP="00507FCF">
      <w:pPr>
        <w:autoSpaceDE w:val="0"/>
        <w:autoSpaceDN w:val="0"/>
        <w:adjustRightInd w:val="0"/>
        <w:spacing w:line="360" w:lineRule="auto"/>
        <w:ind w:firstLine="851"/>
        <w:rPr>
          <w:rFonts w:ascii="Times New Roman" w:eastAsiaTheme="minorHAnsi" w:hAnsi="Times New Roman"/>
          <w:bCs/>
          <w:sz w:val="28"/>
          <w:szCs w:val="28"/>
        </w:rPr>
      </w:pPr>
      <w:r w:rsidRPr="00666F22">
        <w:rPr>
          <w:rFonts w:ascii="Times New Roman" w:eastAsiaTheme="minorHAnsi" w:hAnsi="Times New Roman"/>
          <w:bCs/>
          <w:sz w:val="28"/>
          <w:szCs w:val="28"/>
        </w:rPr>
        <w:t xml:space="preserve">11. </w:t>
      </w:r>
      <w:proofErr w:type="spellStart"/>
      <w:r w:rsidRPr="00666F22">
        <w:rPr>
          <w:rFonts w:ascii="Times New Roman" w:hAnsi="Times New Roman"/>
          <w:sz w:val="28"/>
          <w:szCs w:val="28"/>
          <w:lang w:val="en-US"/>
        </w:rPr>
        <w:t>uchebnik</w:t>
      </w:r>
      <w:proofErr w:type="spellEnd"/>
      <w:r w:rsidRPr="00666F22">
        <w:rPr>
          <w:rFonts w:ascii="Times New Roman" w:hAnsi="Times New Roman"/>
          <w:sz w:val="28"/>
          <w:szCs w:val="28"/>
        </w:rPr>
        <w:t>-</w:t>
      </w:r>
      <w:proofErr w:type="spellStart"/>
      <w:r w:rsidRPr="00666F22">
        <w:rPr>
          <w:rFonts w:ascii="Times New Roman" w:hAnsi="Times New Roman"/>
          <w:sz w:val="28"/>
          <w:szCs w:val="28"/>
          <w:lang w:val="en-US"/>
        </w:rPr>
        <w:t>besplatno</w:t>
      </w:r>
      <w:proofErr w:type="spellEnd"/>
      <w:r w:rsidRPr="00666F22">
        <w:rPr>
          <w:rFonts w:ascii="Times New Roman" w:hAnsi="Times New Roman"/>
          <w:sz w:val="28"/>
          <w:szCs w:val="28"/>
        </w:rPr>
        <w:t>.</w:t>
      </w:r>
      <w:r w:rsidRPr="00666F22">
        <w:rPr>
          <w:rFonts w:ascii="Times New Roman" w:hAnsi="Times New Roman"/>
          <w:sz w:val="28"/>
          <w:szCs w:val="28"/>
          <w:lang w:val="en-US"/>
        </w:rPr>
        <w:t>com</w:t>
      </w:r>
      <w:r w:rsidRPr="00666F22">
        <w:rPr>
          <w:rFonts w:ascii="Times New Roman" w:hAnsi="Times New Roman"/>
          <w:sz w:val="28"/>
          <w:szCs w:val="28"/>
        </w:rPr>
        <w:t>/</w:t>
      </w:r>
      <w:proofErr w:type="spellStart"/>
      <w:r w:rsidRPr="00666F22">
        <w:rPr>
          <w:rFonts w:ascii="Times New Roman" w:hAnsi="Times New Roman"/>
          <w:sz w:val="28"/>
          <w:szCs w:val="28"/>
          <w:lang w:val="en-US"/>
        </w:rPr>
        <w:t>ekonomika</w:t>
      </w:r>
      <w:proofErr w:type="spellEnd"/>
      <w:r w:rsidRPr="00666F22">
        <w:rPr>
          <w:rFonts w:ascii="Times New Roman" w:hAnsi="Times New Roman"/>
          <w:sz w:val="28"/>
          <w:szCs w:val="28"/>
        </w:rPr>
        <w:t>-</w:t>
      </w:r>
      <w:proofErr w:type="spellStart"/>
      <w:r w:rsidRPr="00666F22">
        <w:rPr>
          <w:rFonts w:ascii="Times New Roman" w:hAnsi="Times New Roman"/>
          <w:sz w:val="28"/>
          <w:szCs w:val="28"/>
          <w:lang w:val="en-US"/>
        </w:rPr>
        <w:t>uchebnik</w:t>
      </w:r>
      <w:proofErr w:type="spellEnd"/>
      <w:r w:rsidRPr="00666F22">
        <w:rPr>
          <w:rFonts w:ascii="Times New Roman" w:hAnsi="Times New Roman"/>
          <w:sz w:val="28"/>
          <w:szCs w:val="28"/>
        </w:rPr>
        <w:t>/</w:t>
      </w:r>
      <w:proofErr w:type="spellStart"/>
      <w:r w:rsidRPr="00666F22">
        <w:rPr>
          <w:rFonts w:ascii="Times New Roman" w:hAnsi="Times New Roman"/>
          <w:sz w:val="28"/>
          <w:szCs w:val="28"/>
          <w:lang w:val="en-US"/>
        </w:rPr>
        <w:t>vtorichnyiy</w:t>
      </w:r>
      <w:proofErr w:type="spellEnd"/>
      <w:r w:rsidRPr="00666F22">
        <w:rPr>
          <w:rFonts w:ascii="Times New Roman" w:hAnsi="Times New Roman"/>
          <w:sz w:val="28"/>
          <w:szCs w:val="28"/>
        </w:rPr>
        <w:t>-</w:t>
      </w:r>
      <w:proofErr w:type="spellStart"/>
      <w:r w:rsidRPr="00666F22">
        <w:rPr>
          <w:rFonts w:ascii="Times New Roman" w:hAnsi="Times New Roman"/>
          <w:sz w:val="28"/>
          <w:szCs w:val="28"/>
          <w:lang w:val="en-US"/>
        </w:rPr>
        <w:t>ryinok</w:t>
      </w:r>
      <w:proofErr w:type="spellEnd"/>
      <w:r w:rsidRPr="00666F22">
        <w:rPr>
          <w:rFonts w:ascii="Times New Roman" w:hAnsi="Times New Roman"/>
          <w:sz w:val="28"/>
          <w:szCs w:val="28"/>
        </w:rPr>
        <w:t>.</w:t>
      </w:r>
      <w:r w:rsidRPr="00666F22">
        <w:rPr>
          <w:rFonts w:ascii="Times New Roman" w:hAnsi="Times New Roman"/>
          <w:sz w:val="28"/>
          <w:szCs w:val="28"/>
          <w:lang w:val="en-US"/>
        </w:rPr>
        <w:t>html</w:t>
      </w:r>
    </w:p>
    <w:p w:rsidR="00507FCF" w:rsidRPr="00666F22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666F22">
        <w:rPr>
          <w:rFonts w:ascii="Times New Roman" w:eastAsiaTheme="minorHAnsi" w:hAnsi="Times New Roman"/>
          <w:bCs/>
          <w:sz w:val="28"/>
          <w:szCs w:val="28"/>
        </w:rPr>
        <w:t xml:space="preserve">12. </w:t>
      </w:r>
      <w:hyperlink r:id="rId22" w:history="1"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www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allpif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</w:p>
    <w:p w:rsidR="00507FCF" w:rsidRPr="00507FCF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507FCF">
        <w:rPr>
          <w:rFonts w:ascii="Times New Roman" w:hAnsi="Times New Roman"/>
          <w:sz w:val="28"/>
          <w:szCs w:val="28"/>
        </w:rPr>
        <w:t xml:space="preserve">11. </w:t>
      </w:r>
      <w:hyperlink r:id="rId23" w:history="1"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www</w:t>
        </w:r>
        <w:r w:rsidRPr="00507FCF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bibliotekar</w:t>
        </w:r>
        <w:proofErr w:type="spellEnd"/>
        <w:r w:rsidRPr="00507FCF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</w:p>
    <w:p w:rsidR="00507FCF" w:rsidRPr="00666F22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666F22">
        <w:rPr>
          <w:rFonts w:ascii="Times New Roman" w:hAnsi="Times New Roman"/>
          <w:sz w:val="28"/>
          <w:szCs w:val="28"/>
        </w:rPr>
        <w:t xml:space="preserve">12. </w:t>
      </w:r>
      <w:hyperlink r:id="rId24" w:history="1"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www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bigpi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biysk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ru</w:t>
        </w:r>
        <w:proofErr w:type="spellEnd"/>
      </w:hyperlink>
    </w:p>
    <w:p w:rsidR="00507FCF" w:rsidRPr="00666F22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666F22">
        <w:rPr>
          <w:rFonts w:ascii="Times New Roman" w:hAnsi="Times New Roman"/>
          <w:sz w:val="28"/>
          <w:szCs w:val="28"/>
        </w:rPr>
        <w:t xml:space="preserve">13. </w:t>
      </w:r>
      <w:hyperlink r:id="rId25" w:history="1"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www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forex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-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basa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com</w:t>
        </w:r>
      </w:hyperlink>
    </w:p>
    <w:p w:rsidR="005F6E62" w:rsidRPr="00507FCF" w:rsidRDefault="00507FCF" w:rsidP="00507FCF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  <w:r w:rsidRPr="00666F22">
        <w:rPr>
          <w:rFonts w:ascii="Times New Roman" w:hAnsi="Times New Roman"/>
          <w:sz w:val="28"/>
          <w:szCs w:val="28"/>
        </w:rPr>
        <w:t xml:space="preserve">14. </w:t>
      </w:r>
      <w:hyperlink r:id="rId26" w:history="1"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www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forex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-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books</w:t>
        </w:r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moy</w:t>
        </w:r>
        <w:proofErr w:type="spellEnd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</w:rPr>
          <w:t>.</w:t>
        </w:r>
        <w:proofErr w:type="spellStart"/>
        <w:r w:rsidRPr="00666F22">
          <w:rPr>
            <w:rStyle w:val="a4"/>
            <w:rFonts w:ascii="Times New Roman" w:hAnsi="Times New Roman"/>
            <w:color w:val="auto"/>
            <w:sz w:val="28"/>
            <w:szCs w:val="28"/>
            <w:u w:val="none"/>
            <w:lang w:val="en-US"/>
          </w:rPr>
          <w:t>su</w:t>
        </w:r>
        <w:proofErr w:type="spellEnd"/>
      </w:hyperlink>
    </w:p>
    <w:sectPr w:rsidR="005F6E62" w:rsidRPr="00507FCF" w:rsidSect="00AA1E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A64A2" w:rsidRDefault="00CA64A2" w:rsidP="00507FCF">
      <w:r>
        <w:separator/>
      </w:r>
    </w:p>
  </w:endnote>
  <w:endnote w:type="continuationSeparator" w:id="0">
    <w:p w:rsidR="00CA64A2" w:rsidRDefault="00CA64A2" w:rsidP="00507F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MT,Italic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2120894624"/>
      <w:docPartObj>
        <w:docPartGallery w:val="Page Numbers (Bottom of Page)"/>
        <w:docPartUnique/>
      </w:docPartObj>
    </w:sdtPr>
    <w:sdtContent>
      <w:p w:rsidR="00507FCF" w:rsidRDefault="007E73A2">
        <w:pPr>
          <w:pStyle w:val="ac"/>
          <w:jc w:val="right"/>
        </w:pPr>
        <w:fldSimple w:instr=" PAGE   \* MERGEFORMAT ">
          <w:r w:rsidR="00596AD2">
            <w:rPr>
              <w:noProof/>
            </w:rPr>
            <w:t>1</w:t>
          </w:r>
        </w:fldSimple>
      </w:p>
    </w:sdtContent>
  </w:sdt>
  <w:p w:rsidR="00507FCF" w:rsidRDefault="00507FCF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A64A2" w:rsidRDefault="00CA64A2" w:rsidP="00507FCF">
      <w:r>
        <w:separator/>
      </w:r>
    </w:p>
  </w:footnote>
  <w:footnote w:type="continuationSeparator" w:id="0">
    <w:p w:rsidR="00CA64A2" w:rsidRDefault="00CA64A2" w:rsidP="00507FC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42F" w:rsidRDefault="007E73A2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DC3164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42242F" w:rsidRDefault="00CA64A2">
    <w:pPr>
      <w:pStyle w:val="a8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42F" w:rsidRDefault="00CA64A2">
    <w:pPr>
      <w:pStyle w:val="a8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53B9D"/>
    <w:multiLevelType w:val="hybridMultilevel"/>
    <w:tmpl w:val="72FA41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FCA4A81"/>
    <w:multiLevelType w:val="hybridMultilevel"/>
    <w:tmpl w:val="DA163B7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55FE3ED2"/>
    <w:multiLevelType w:val="hybridMultilevel"/>
    <w:tmpl w:val="92C65376"/>
    <w:lvl w:ilvl="0" w:tplc="4C48B9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E9C5AA8"/>
    <w:multiLevelType w:val="hybridMultilevel"/>
    <w:tmpl w:val="AE021C10"/>
    <w:lvl w:ilvl="0" w:tplc="1E4A4FAA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53DF9"/>
    <w:rsid w:val="000C309B"/>
    <w:rsid w:val="002E5684"/>
    <w:rsid w:val="00353DF9"/>
    <w:rsid w:val="00507FCF"/>
    <w:rsid w:val="00596AD2"/>
    <w:rsid w:val="005F6E62"/>
    <w:rsid w:val="00767784"/>
    <w:rsid w:val="007E73A2"/>
    <w:rsid w:val="007F31A9"/>
    <w:rsid w:val="008133D8"/>
    <w:rsid w:val="00946096"/>
    <w:rsid w:val="00A11A1E"/>
    <w:rsid w:val="00AA1E9E"/>
    <w:rsid w:val="00C47BE3"/>
    <w:rsid w:val="00C944E2"/>
    <w:rsid w:val="00CA64A2"/>
    <w:rsid w:val="00DC3164"/>
    <w:rsid w:val="00FA650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3DF9"/>
    <w:pPr>
      <w:spacing w:after="0" w:line="240" w:lineRule="auto"/>
      <w:jc w:val="both"/>
    </w:pPr>
    <w:rPr>
      <w:rFonts w:ascii="Verdana" w:eastAsia="Calibri" w:hAnsi="Verdana" w:cs="Times New Roman"/>
      <w:sz w:val="16"/>
    </w:rPr>
  </w:style>
  <w:style w:type="paragraph" w:styleId="1">
    <w:name w:val="heading 1"/>
    <w:basedOn w:val="a"/>
    <w:next w:val="a"/>
    <w:link w:val="10"/>
    <w:qFormat/>
    <w:rsid w:val="005F6E62"/>
    <w:pPr>
      <w:keepNext/>
      <w:spacing w:before="240" w:after="60"/>
      <w:jc w:val="left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44E2"/>
    <w:pPr>
      <w:spacing w:after="0" w:line="240" w:lineRule="auto"/>
      <w:jc w:val="both"/>
    </w:pPr>
    <w:rPr>
      <w:rFonts w:ascii="Verdana" w:eastAsia="Calibri" w:hAnsi="Verdana" w:cs="Times New Roman"/>
      <w:sz w:val="16"/>
    </w:rPr>
  </w:style>
  <w:style w:type="character" w:styleId="a4">
    <w:name w:val="Hyperlink"/>
    <w:basedOn w:val="a0"/>
    <w:uiPriority w:val="99"/>
    <w:unhideWhenUsed/>
    <w:rsid w:val="00C944E2"/>
    <w:rPr>
      <w:color w:val="0000FF" w:themeColor="hyperlink"/>
      <w:u w:val="single"/>
    </w:rPr>
  </w:style>
  <w:style w:type="paragraph" w:styleId="a5">
    <w:name w:val="List Paragraph"/>
    <w:basedOn w:val="a"/>
    <w:uiPriority w:val="34"/>
    <w:qFormat/>
    <w:rsid w:val="00767784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5F6E62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0C309B"/>
    <w:rPr>
      <w:rFonts w:ascii="Tahoma" w:hAnsi="Tahoma" w:cs="Tahoma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C309B"/>
    <w:rPr>
      <w:rFonts w:ascii="Tahoma" w:eastAsia="Calibri" w:hAnsi="Tahoma" w:cs="Tahoma"/>
      <w:sz w:val="16"/>
      <w:szCs w:val="16"/>
    </w:rPr>
  </w:style>
  <w:style w:type="paragraph" w:styleId="2">
    <w:name w:val="Body Text 2"/>
    <w:basedOn w:val="a"/>
    <w:link w:val="20"/>
    <w:rsid w:val="000C309B"/>
    <w:pPr>
      <w:spacing w:line="230" w:lineRule="exact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20">
    <w:name w:val="Основной текст 2 Знак"/>
    <w:basedOn w:val="a0"/>
    <w:link w:val="2"/>
    <w:rsid w:val="000C30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rsid w:val="00C47BE3"/>
    <w:pPr>
      <w:tabs>
        <w:tab w:val="center" w:pos="4677"/>
        <w:tab w:val="right" w:pos="9355"/>
      </w:tabs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9">
    <w:name w:val="Верхний колонтитул Знак"/>
    <w:basedOn w:val="a0"/>
    <w:link w:val="a8"/>
    <w:rsid w:val="00C47BE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C47BE3"/>
  </w:style>
  <w:style w:type="character" w:styleId="ab">
    <w:name w:val="Strong"/>
    <w:basedOn w:val="a0"/>
    <w:qFormat/>
    <w:rsid w:val="00C47BE3"/>
    <w:rPr>
      <w:b/>
      <w:bCs/>
    </w:rPr>
  </w:style>
  <w:style w:type="paragraph" w:styleId="ac">
    <w:name w:val="footer"/>
    <w:basedOn w:val="a"/>
    <w:link w:val="ad"/>
    <w:uiPriority w:val="99"/>
    <w:unhideWhenUsed/>
    <w:rsid w:val="00507FC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07FCF"/>
    <w:rPr>
      <w:rFonts w:ascii="Verdana" w:eastAsia="Calibri" w:hAnsi="Verdana" w:cs="Times New Roman"/>
      <w:sz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33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41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69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yperlink" Target="http://www.forex-books.moy.s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rae.ru" TargetMode="External"/><Relationship Id="rId7" Type="http://schemas.openxmlformats.org/officeDocument/2006/relationships/header" Target="header1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hyperlink" Target="http://www.forex-basa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oleObject" Target="embeddings/oleObject1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24" Type="http://schemas.openxmlformats.org/officeDocument/2006/relationships/hyperlink" Target="http://www.bigpi.biysk.ru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://www.bibliotekar.ru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w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Relationship Id="rId22" Type="http://schemas.openxmlformats.org/officeDocument/2006/relationships/hyperlink" Target="http://www.allpif.ru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2273</TotalTime>
  <Pages>1</Pages>
  <Words>4360</Words>
  <Characters>24855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WolfishLair</Company>
  <LinksUpToDate>false</LinksUpToDate>
  <CharactersWithSpaces>29157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Valued eMachines Customer</dc:creator>
  <cp:keywords/>
  <dc:description/>
  <cp:lastModifiedBy>Valued eMachines Customer</cp:lastModifiedBy>
  <cp:revision>8</cp:revision>
  <dcterms:created xsi:type="dcterms:W3CDTF">2013-05-03T17:14:00Z</dcterms:created>
  <dcterms:modified xsi:type="dcterms:W3CDTF">2013-12-02T11:54:00Z</dcterms:modified>
</cp:coreProperties>
</file>