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10" w:rsidRDefault="003A0D10" w:rsidP="003A0D10">
      <w:pPr>
        <w:spacing w:line="360" w:lineRule="auto"/>
        <w:jc w:val="center"/>
        <w:rPr>
          <w:rFonts w:ascii="Times New Roman" w:hAnsi="Times New Roman" w:cs="Times New Roman"/>
          <w:color w:val="000000"/>
          <w:sz w:val="28"/>
          <w:szCs w:val="28"/>
          <w:shd w:val="clear" w:color="auto" w:fill="FFFFFF"/>
        </w:rPr>
      </w:pPr>
      <w:r w:rsidRPr="00EE6349">
        <w:rPr>
          <w:rFonts w:ascii="Times New Roman" w:hAnsi="Times New Roman" w:cs="Times New Roman"/>
          <w:color w:val="000000"/>
          <w:sz w:val="28"/>
          <w:szCs w:val="28"/>
          <w:shd w:val="clear" w:color="auto" w:fill="FFFFFF"/>
        </w:rPr>
        <w:t>Министерство образования и науки Российской Федерации</w:t>
      </w:r>
    </w:p>
    <w:p w:rsidR="003A0D10" w:rsidRDefault="003A0D10" w:rsidP="003A0D10">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ФГБОУ ВПО «Ивановский государственный университет»</w:t>
      </w:r>
    </w:p>
    <w:p w:rsidR="003A0D10" w:rsidRDefault="003A0D10" w:rsidP="003A0D10">
      <w:pPr>
        <w:spacing w:line="360" w:lineRule="auto"/>
        <w:jc w:val="center"/>
        <w:rPr>
          <w:rFonts w:ascii="Times New Roman" w:hAnsi="Times New Roman" w:cs="Times New Roman"/>
          <w:color w:val="000000"/>
          <w:sz w:val="28"/>
          <w:szCs w:val="28"/>
          <w:shd w:val="clear" w:color="auto" w:fill="FFFFFF"/>
        </w:rPr>
      </w:pPr>
    </w:p>
    <w:p w:rsidR="003A0D10" w:rsidRDefault="003A0D10" w:rsidP="003A0D10">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Кафедра финансов и банковского дела</w:t>
      </w:r>
    </w:p>
    <w:p w:rsidR="003A0D10" w:rsidRDefault="003A0D10" w:rsidP="003A0D10">
      <w:pPr>
        <w:spacing w:line="360" w:lineRule="auto"/>
        <w:jc w:val="center"/>
        <w:rPr>
          <w:rFonts w:ascii="Times New Roman" w:hAnsi="Times New Roman" w:cs="Times New Roman"/>
          <w:color w:val="000000"/>
          <w:sz w:val="28"/>
          <w:szCs w:val="28"/>
          <w:shd w:val="clear" w:color="auto" w:fill="FFFFFF"/>
        </w:rPr>
      </w:pPr>
    </w:p>
    <w:p w:rsidR="003A0D10" w:rsidRDefault="003A0D10" w:rsidP="003A0D10">
      <w:pPr>
        <w:spacing w:line="360" w:lineRule="auto"/>
        <w:jc w:val="center"/>
        <w:rPr>
          <w:rFonts w:ascii="Times New Roman" w:hAnsi="Times New Roman" w:cs="Times New Roman"/>
          <w:color w:val="000000"/>
          <w:sz w:val="28"/>
          <w:szCs w:val="28"/>
          <w:shd w:val="clear" w:color="auto" w:fill="FFFFFF"/>
        </w:rPr>
      </w:pPr>
    </w:p>
    <w:p w:rsidR="003A0D10" w:rsidRDefault="003A0D10" w:rsidP="003A0D10">
      <w:pPr>
        <w:spacing w:line="360" w:lineRule="auto"/>
        <w:jc w:val="center"/>
        <w:rPr>
          <w:rFonts w:ascii="Times New Roman" w:hAnsi="Times New Roman" w:cs="Times New Roman"/>
          <w:sz w:val="28"/>
          <w:szCs w:val="28"/>
        </w:rPr>
      </w:pPr>
      <w:r>
        <w:rPr>
          <w:rFonts w:ascii="Times New Roman" w:hAnsi="Times New Roman" w:cs="Times New Roman"/>
          <w:sz w:val="28"/>
          <w:szCs w:val="28"/>
        </w:rPr>
        <w:t>Отчёт о прохождении преддипломной практики</w:t>
      </w:r>
    </w:p>
    <w:p w:rsidR="003A0D10" w:rsidRDefault="003A0D10" w:rsidP="003A0D10">
      <w:pPr>
        <w:spacing w:line="360" w:lineRule="auto"/>
        <w:jc w:val="center"/>
        <w:rPr>
          <w:rFonts w:ascii="Times New Roman" w:hAnsi="Times New Roman" w:cs="Times New Roman"/>
          <w:sz w:val="28"/>
          <w:szCs w:val="28"/>
        </w:rPr>
      </w:pPr>
      <w:r>
        <w:rPr>
          <w:rFonts w:ascii="Times New Roman" w:hAnsi="Times New Roman" w:cs="Times New Roman"/>
          <w:sz w:val="28"/>
          <w:szCs w:val="28"/>
        </w:rPr>
        <w:t>в ЗАО МКБ «Приватбанк»</w:t>
      </w:r>
    </w:p>
    <w:p w:rsidR="003A0D10" w:rsidRPr="00EE6349" w:rsidRDefault="003A0D10" w:rsidP="003A0D10">
      <w:pPr>
        <w:rPr>
          <w:rFonts w:ascii="Times New Roman" w:hAnsi="Times New Roman" w:cs="Times New Roman"/>
          <w:sz w:val="28"/>
          <w:szCs w:val="28"/>
        </w:rPr>
      </w:pPr>
    </w:p>
    <w:p w:rsidR="003A0D10" w:rsidRPr="00EE6349" w:rsidRDefault="003A0D10" w:rsidP="003A0D10">
      <w:pPr>
        <w:rPr>
          <w:rFonts w:ascii="Times New Roman" w:hAnsi="Times New Roman" w:cs="Times New Roman"/>
          <w:sz w:val="28"/>
          <w:szCs w:val="28"/>
        </w:rPr>
      </w:pPr>
    </w:p>
    <w:p w:rsidR="003A0D10" w:rsidRPr="00EE6349" w:rsidRDefault="003A0D10" w:rsidP="003A0D10">
      <w:pPr>
        <w:rPr>
          <w:rFonts w:ascii="Times New Roman" w:hAnsi="Times New Roman" w:cs="Times New Roman"/>
          <w:sz w:val="28"/>
          <w:szCs w:val="28"/>
        </w:rPr>
      </w:pPr>
    </w:p>
    <w:p w:rsidR="003A0D10" w:rsidRPr="00EE6349" w:rsidRDefault="003A0D10" w:rsidP="003A0D10">
      <w:pPr>
        <w:rPr>
          <w:rFonts w:ascii="Times New Roman" w:hAnsi="Times New Roman" w:cs="Times New Roman"/>
          <w:sz w:val="28"/>
          <w:szCs w:val="28"/>
        </w:rPr>
      </w:pPr>
    </w:p>
    <w:p w:rsidR="003A0D10" w:rsidRDefault="003A0D10" w:rsidP="003A0D10">
      <w:pPr>
        <w:rPr>
          <w:rFonts w:ascii="Times New Roman" w:hAnsi="Times New Roman" w:cs="Times New Roman"/>
          <w:sz w:val="28"/>
          <w:szCs w:val="28"/>
        </w:rPr>
      </w:pPr>
    </w:p>
    <w:p w:rsidR="003A0D10" w:rsidRDefault="003A0D10" w:rsidP="003A0D10">
      <w:pPr>
        <w:tabs>
          <w:tab w:val="left" w:pos="5940"/>
        </w:tabs>
        <w:jc w:val="right"/>
        <w:rPr>
          <w:rFonts w:ascii="Times New Roman" w:hAnsi="Times New Roman" w:cs="Times New Roman"/>
          <w:sz w:val="28"/>
          <w:szCs w:val="28"/>
        </w:rPr>
      </w:pPr>
      <w:r>
        <w:rPr>
          <w:rFonts w:ascii="Times New Roman" w:hAnsi="Times New Roman" w:cs="Times New Roman"/>
          <w:sz w:val="28"/>
          <w:szCs w:val="28"/>
        </w:rPr>
        <w:tab/>
        <w:t xml:space="preserve">Выполнила: </w:t>
      </w:r>
    </w:p>
    <w:p w:rsidR="003A0D10" w:rsidRDefault="003A0D10" w:rsidP="003A0D10">
      <w:pPr>
        <w:tabs>
          <w:tab w:val="left" w:pos="5940"/>
        </w:tabs>
        <w:jc w:val="right"/>
        <w:rPr>
          <w:rFonts w:ascii="Times New Roman" w:hAnsi="Times New Roman" w:cs="Times New Roman"/>
          <w:sz w:val="28"/>
          <w:szCs w:val="28"/>
        </w:rPr>
      </w:pPr>
      <w:r>
        <w:rPr>
          <w:rFonts w:ascii="Times New Roman" w:hAnsi="Times New Roman" w:cs="Times New Roman"/>
          <w:sz w:val="28"/>
          <w:szCs w:val="28"/>
        </w:rPr>
        <w:t>Студентка ОДО группы 4/4к</w:t>
      </w:r>
    </w:p>
    <w:p w:rsidR="003A0D10" w:rsidRDefault="003A0D10" w:rsidP="003A0D10">
      <w:pPr>
        <w:tabs>
          <w:tab w:val="left" w:pos="5940"/>
        </w:tabs>
        <w:jc w:val="right"/>
        <w:rPr>
          <w:rFonts w:ascii="Times New Roman" w:hAnsi="Times New Roman" w:cs="Times New Roman"/>
          <w:sz w:val="28"/>
          <w:szCs w:val="28"/>
        </w:rPr>
      </w:pPr>
      <w:r>
        <w:rPr>
          <w:rFonts w:ascii="Times New Roman" w:hAnsi="Times New Roman" w:cs="Times New Roman"/>
          <w:sz w:val="28"/>
          <w:szCs w:val="28"/>
        </w:rPr>
        <w:t xml:space="preserve">Артамонова Екатерина </w:t>
      </w:r>
    </w:p>
    <w:p w:rsidR="003A0D10" w:rsidRDefault="003A0D10" w:rsidP="003A0D10">
      <w:pPr>
        <w:tabs>
          <w:tab w:val="left" w:pos="5940"/>
        </w:tabs>
        <w:jc w:val="right"/>
        <w:rPr>
          <w:rFonts w:ascii="Times New Roman" w:hAnsi="Times New Roman" w:cs="Times New Roman"/>
          <w:sz w:val="28"/>
          <w:szCs w:val="28"/>
        </w:rPr>
      </w:pPr>
      <w:r>
        <w:rPr>
          <w:rFonts w:ascii="Times New Roman" w:hAnsi="Times New Roman" w:cs="Times New Roman"/>
          <w:sz w:val="28"/>
          <w:szCs w:val="28"/>
        </w:rPr>
        <w:t>Научный руководитель:</w:t>
      </w:r>
    </w:p>
    <w:p w:rsidR="003A0D10" w:rsidRDefault="0047305B" w:rsidP="0047305B">
      <w:pPr>
        <w:tabs>
          <w:tab w:val="left" w:pos="5940"/>
        </w:tabs>
        <w:jc w:val="right"/>
        <w:rPr>
          <w:rFonts w:ascii="Times New Roman" w:hAnsi="Times New Roman" w:cs="Times New Roman"/>
          <w:sz w:val="28"/>
          <w:szCs w:val="28"/>
        </w:rPr>
      </w:pPr>
      <w:r>
        <w:rPr>
          <w:rFonts w:ascii="Times New Roman" w:hAnsi="Times New Roman" w:cs="Times New Roman"/>
          <w:sz w:val="28"/>
          <w:szCs w:val="28"/>
        </w:rPr>
        <w:t xml:space="preserve"> </w:t>
      </w:r>
      <w:r w:rsidR="005F1DF9">
        <w:rPr>
          <w:rFonts w:ascii="Times New Roman" w:hAnsi="Times New Roman" w:cs="Times New Roman"/>
          <w:sz w:val="28"/>
          <w:szCs w:val="28"/>
        </w:rPr>
        <w:t xml:space="preserve">доц., </w:t>
      </w:r>
      <w:r>
        <w:rPr>
          <w:rFonts w:ascii="Times New Roman" w:hAnsi="Times New Roman" w:cs="Times New Roman"/>
          <w:sz w:val="28"/>
          <w:szCs w:val="28"/>
        </w:rPr>
        <w:t>к.э.н. Мазина Ю. Ю.</w:t>
      </w:r>
    </w:p>
    <w:p w:rsidR="003A0D10" w:rsidRDefault="003A0D10" w:rsidP="003A0D10">
      <w:pPr>
        <w:tabs>
          <w:tab w:val="left" w:pos="5940"/>
        </w:tabs>
        <w:jc w:val="center"/>
        <w:rPr>
          <w:rFonts w:ascii="Times New Roman" w:hAnsi="Times New Roman" w:cs="Times New Roman"/>
          <w:sz w:val="28"/>
          <w:szCs w:val="28"/>
        </w:rPr>
      </w:pPr>
    </w:p>
    <w:p w:rsidR="003A0D10" w:rsidRDefault="003A0D10" w:rsidP="003A0D10">
      <w:pPr>
        <w:tabs>
          <w:tab w:val="left" w:pos="5940"/>
        </w:tabs>
        <w:jc w:val="center"/>
        <w:rPr>
          <w:rFonts w:ascii="Times New Roman" w:hAnsi="Times New Roman" w:cs="Times New Roman"/>
          <w:sz w:val="28"/>
          <w:szCs w:val="28"/>
        </w:rPr>
      </w:pPr>
    </w:p>
    <w:p w:rsidR="003A0D10" w:rsidRDefault="003A0D10" w:rsidP="003A0D10">
      <w:pPr>
        <w:tabs>
          <w:tab w:val="left" w:pos="5940"/>
        </w:tabs>
        <w:jc w:val="center"/>
        <w:rPr>
          <w:rFonts w:ascii="Times New Roman" w:hAnsi="Times New Roman" w:cs="Times New Roman"/>
          <w:sz w:val="28"/>
          <w:szCs w:val="28"/>
        </w:rPr>
      </w:pPr>
    </w:p>
    <w:p w:rsidR="003A0D10" w:rsidRDefault="003A0D10" w:rsidP="003A0D10">
      <w:pPr>
        <w:tabs>
          <w:tab w:val="left" w:pos="5940"/>
        </w:tabs>
        <w:jc w:val="center"/>
        <w:rPr>
          <w:rFonts w:ascii="Times New Roman" w:hAnsi="Times New Roman" w:cs="Times New Roman"/>
          <w:sz w:val="28"/>
          <w:szCs w:val="28"/>
        </w:rPr>
      </w:pPr>
    </w:p>
    <w:p w:rsidR="003A0D10" w:rsidRDefault="003A0D10" w:rsidP="003A0D10">
      <w:pPr>
        <w:tabs>
          <w:tab w:val="left" w:pos="5940"/>
        </w:tabs>
        <w:jc w:val="center"/>
        <w:rPr>
          <w:rFonts w:ascii="Times New Roman" w:hAnsi="Times New Roman" w:cs="Times New Roman"/>
          <w:sz w:val="28"/>
          <w:szCs w:val="28"/>
        </w:rPr>
      </w:pPr>
    </w:p>
    <w:p w:rsidR="003A0D10" w:rsidRPr="003A0D10" w:rsidRDefault="003A0D10" w:rsidP="003A0D10">
      <w:pPr>
        <w:tabs>
          <w:tab w:val="left" w:pos="5940"/>
        </w:tabs>
        <w:jc w:val="center"/>
        <w:rPr>
          <w:rFonts w:ascii="Times New Roman" w:hAnsi="Times New Roman" w:cs="Times New Roman"/>
          <w:sz w:val="28"/>
          <w:szCs w:val="28"/>
        </w:rPr>
      </w:pPr>
      <w:r>
        <w:rPr>
          <w:rFonts w:ascii="Times New Roman" w:hAnsi="Times New Roman" w:cs="Times New Roman"/>
          <w:sz w:val="28"/>
          <w:szCs w:val="28"/>
        </w:rPr>
        <w:t>Иваново 2013</w:t>
      </w:r>
    </w:p>
    <w:sdt>
      <w:sdtPr>
        <w:rPr>
          <w:rFonts w:asciiTheme="minorHAnsi" w:eastAsiaTheme="minorHAnsi" w:hAnsiTheme="minorHAnsi" w:cstheme="minorBidi"/>
          <w:b w:val="0"/>
          <w:bCs w:val="0"/>
          <w:color w:val="auto"/>
          <w:sz w:val="22"/>
          <w:szCs w:val="22"/>
          <w:lang w:eastAsia="en-US"/>
        </w:rPr>
        <w:id w:val="-186827265"/>
        <w:docPartObj>
          <w:docPartGallery w:val="Table of Contents"/>
          <w:docPartUnique/>
        </w:docPartObj>
      </w:sdtPr>
      <w:sdtContent>
        <w:p w:rsidR="00062354" w:rsidRPr="00062354" w:rsidRDefault="00062354" w:rsidP="00062354">
          <w:pPr>
            <w:pStyle w:val="af1"/>
            <w:spacing w:before="0" w:line="360" w:lineRule="auto"/>
            <w:jc w:val="center"/>
            <w:rPr>
              <w:rFonts w:ascii="Times New Roman" w:hAnsi="Times New Roman" w:cs="Times New Roman"/>
              <w:color w:val="auto"/>
            </w:rPr>
          </w:pPr>
          <w:r>
            <w:rPr>
              <w:rFonts w:ascii="Times New Roman" w:hAnsi="Times New Roman" w:cs="Times New Roman"/>
              <w:color w:val="auto"/>
            </w:rPr>
            <w:t>Содержание</w:t>
          </w:r>
        </w:p>
        <w:p w:rsidR="00126B75" w:rsidRPr="00126B75" w:rsidRDefault="00697C2B" w:rsidP="00126B75">
          <w:pPr>
            <w:pStyle w:val="31"/>
            <w:tabs>
              <w:tab w:val="right" w:leader="dot" w:pos="9345"/>
            </w:tabs>
            <w:spacing w:after="0" w:line="360" w:lineRule="auto"/>
            <w:ind w:left="0"/>
            <w:rPr>
              <w:rFonts w:ascii="Times New Roman" w:eastAsiaTheme="minorEastAsia" w:hAnsi="Times New Roman" w:cs="Times New Roman"/>
              <w:noProof/>
              <w:sz w:val="28"/>
              <w:szCs w:val="28"/>
              <w:lang w:eastAsia="ru-RU"/>
            </w:rPr>
          </w:pPr>
          <w:r w:rsidRPr="00697C2B">
            <w:fldChar w:fldCharType="begin"/>
          </w:r>
          <w:r w:rsidR="00062354">
            <w:instrText xml:space="preserve"> TOC \o "1-3" \h \z \u </w:instrText>
          </w:r>
          <w:r w:rsidRPr="00697C2B">
            <w:fldChar w:fldCharType="separate"/>
          </w:r>
          <w:hyperlink w:anchor="_Toc360362451" w:history="1">
            <w:r w:rsidR="00126B75" w:rsidRPr="00126B75">
              <w:rPr>
                <w:rStyle w:val="ac"/>
                <w:rFonts w:ascii="Times New Roman" w:hAnsi="Times New Roman" w:cs="Times New Roman"/>
                <w:noProof/>
                <w:color w:val="auto"/>
                <w:sz w:val="28"/>
                <w:szCs w:val="28"/>
                <w:lang w:bidi="en-US"/>
              </w:rPr>
              <w:t>Введение</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_Toc360362451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3</w:t>
            </w:r>
            <w:r w:rsidRPr="00126B75">
              <w:rPr>
                <w:rFonts w:ascii="Times New Roman" w:hAnsi="Times New Roman" w:cs="Times New Roman"/>
                <w:noProof/>
                <w:webHidden/>
                <w:sz w:val="28"/>
                <w:szCs w:val="28"/>
              </w:rPr>
              <w:fldChar w:fldCharType="end"/>
            </w:r>
          </w:hyperlink>
        </w:p>
        <w:p w:rsidR="00126B75" w:rsidRPr="00126B75" w:rsidRDefault="00697C2B" w:rsidP="00126B75">
          <w:pPr>
            <w:pStyle w:val="22"/>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360362452" w:history="1">
            <w:r w:rsidR="00126B75" w:rsidRPr="00126B75">
              <w:rPr>
                <w:rStyle w:val="ac"/>
                <w:rFonts w:ascii="Times New Roman" w:hAnsi="Times New Roman" w:cs="Times New Roman"/>
                <w:noProof/>
                <w:snapToGrid w:val="0"/>
                <w:color w:val="auto"/>
                <w:sz w:val="28"/>
                <w:szCs w:val="28"/>
                <w:lang w:bidi="en-US"/>
              </w:rPr>
              <w:t>1. Краткая характеристика МКБ «Москомприватбанк»</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_Toc360362452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4</w:t>
            </w:r>
            <w:r w:rsidRPr="00126B75">
              <w:rPr>
                <w:rFonts w:ascii="Times New Roman" w:hAnsi="Times New Roman" w:cs="Times New Roman"/>
                <w:noProof/>
                <w:webHidden/>
                <w:sz w:val="28"/>
                <w:szCs w:val="28"/>
              </w:rPr>
              <w:fldChar w:fldCharType="end"/>
            </w:r>
          </w:hyperlink>
        </w:p>
        <w:p w:rsidR="00126B75" w:rsidRPr="00126B75" w:rsidRDefault="00697C2B" w:rsidP="00126B75">
          <w:pPr>
            <w:pStyle w:val="31"/>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360362453" w:history="1">
            <w:r w:rsidR="00126B75" w:rsidRPr="00126B75">
              <w:rPr>
                <w:rStyle w:val="ac"/>
                <w:rFonts w:ascii="Times New Roman" w:eastAsia="Times New Roman" w:hAnsi="Times New Roman" w:cs="Times New Roman"/>
                <w:noProof/>
                <w:color w:val="auto"/>
                <w:sz w:val="28"/>
                <w:szCs w:val="28"/>
                <w:lang w:eastAsia="ru-RU"/>
              </w:rPr>
              <w:t>2. Описание места практики</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_Toc360362453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7</w:t>
            </w:r>
            <w:r w:rsidRPr="00126B75">
              <w:rPr>
                <w:rFonts w:ascii="Times New Roman" w:hAnsi="Times New Roman" w:cs="Times New Roman"/>
                <w:noProof/>
                <w:webHidden/>
                <w:sz w:val="28"/>
                <w:szCs w:val="28"/>
              </w:rPr>
              <w:fldChar w:fldCharType="end"/>
            </w:r>
          </w:hyperlink>
        </w:p>
        <w:p w:rsidR="00126B75" w:rsidRPr="00126B75" w:rsidRDefault="00697C2B" w:rsidP="00126B75">
          <w:pPr>
            <w:pStyle w:val="31"/>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360362454" w:history="1">
            <w:r w:rsidR="00126B75" w:rsidRPr="00126B75">
              <w:rPr>
                <w:rStyle w:val="ac"/>
                <w:rFonts w:ascii="Times New Roman" w:eastAsia="Calibri" w:hAnsi="Times New Roman" w:cs="Times New Roman"/>
                <w:noProof/>
                <w:color w:val="auto"/>
                <w:sz w:val="28"/>
                <w:szCs w:val="28"/>
                <w:lang w:eastAsia="ru-RU"/>
              </w:rPr>
              <w:t>3. Инструмент безналичного расчёта - банковская карта</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_Toc360362454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1</w:t>
            </w:r>
            <w:r w:rsidR="00413AEB">
              <w:rPr>
                <w:rFonts w:ascii="Times New Roman" w:hAnsi="Times New Roman" w:cs="Times New Roman"/>
                <w:noProof/>
                <w:webHidden/>
                <w:sz w:val="28"/>
                <w:szCs w:val="28"/>
              </w:rPr>
              <w:t>2</w:t>
            </w:r>
            <w:r w:rsidRPr="00126B75">
              <w:rPr>
                <w:rFonts w:ascii="Times New Roman" w:hAnsi="Times New Roman" w:cs="Times New Roman"/>
                <w:noProof/>
                <w:webHidden/>
                <w:sz w:val="28"/>
                <w:szCs w:val="28"/>
              </w:rPr>
              <w:fldChar w:fldCharType="end"/>
            </w:r>
          </w:hyperlink>
        </w:p>
        <w:p w:rsidR="00126B75" w:rsidRPr="00126B75" w:rsidRDefault="00697C2B" w:rsidP="00126B75">
          <w:pPr>
            <w:pStyle w:val="31"/>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360362455" w:history="1">
            <w:r w:rsidR="00126B75" w:rsidRPr="00126B75">
              <w:rPr>
                <w:rStyle w:val="ac"/>
                <w:rFonts w:ascii="Times New Roman" w:hAnsi="Times New Roman" w:cs="Times New Roman"/>
                <w:noProof/>
                <w:color w:val="auto"/>
                <w:sz w:val="28"/>
                <w:szCs w:val="28"/>
                <w:lang w:eastAsia="ru-RU"/>
              </w:rPr>
              <w:t xml:space="preserve">3.1. </w:t>
            </w:r>
            <w:r w:rsidR="00126B75" w:rsidRPr="00126B75">
              <w:rPr>
                <w:rStyle w:val="ac"/>
                <w:rFonts w:ascii="Times New Roman" w:eastAsia="Times New Roman" w:hAnsi="Times New Roman" w:cs="Times New Roman"/>
                <w:noProof/>
                <w:color w:val="auto"/>
                <w:sz w:val="28"/>
                <w:szCs w:val="28"/>
                <w:lang w:eastAsia="ru-RU"/>
              </w:rPr>
              <w:t>Показатели функционирования рынка пластиковых карт</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_Toc360362455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1</w:t>
            </w:r>
            <w:r w:rsidR="00413AEB">
              <w:rPr>
                <w:rFonts w:ascii="Times New Roman" w:hAnsi="Times New Roman" w:cs="Times New Roman"/>
                <w:noProof/>
                <w:webHidden/>
                <w:sz w:val="28"/>
                <w:szCs w:val="28"/>
              </w:rPr>
              <w:t>2</w:t>
            </w:r>
            <w:r w:rsidRPr="00126B75">
              <w:rPr>
                <w:rFonts w:ascii="Times New Roman" w:hAnsi="Times New Roman" w:cs="Times New Roman"/>
                <w:noProof/>
                <w:webHidden/>
                <w:sz w:val="28"/>
                <w:szCs w:val="28"/>
              </w:rPr>
              <w:fldChar w:fldCharType="end"/>
            </w:r>
          </w:hyperlink>
        </w:p>
        <w:p w:rsidR="00126B75" w:rsidRDefault="00697C2B" w:rsidP="00126B75">
          <w:pPr>
            <w:pStyle w:val="22"/>
            <w:tabs>
              <w:tab w:val="right" w:leader="dot" w:pos="9345"/>
            </w:tabs>
            <w:spacing w:after="0" w:line="360" w:lineRule="auto"/>
            <w:ind w:left="0"/>
          </w:pPr>
          <w:hyperlink w:anchor="_Toc360362456" w:history="1">
            <w:r w:rsidR="00126B75" w:rsidRPr="00126B75">
              <w:rPr>
                <w:rStyle w:val="ac"/>
                <w:rFonts w:ascii="Times New Roman" w:hAnsi="Times New Roman" w:cs="Times New Roman"/>
                <w:noProof/>
                <w:color w:val="auto"/>
                <w:sz w:val="28"/>
                <w:szCs w:val="28"/>
                <w:lang w:eastAsia="ru-RU"/>
              </w:rPr>
              <w:t>3.2. Анализ рынка пластиковых кар</w:t>
            </w:r>
            <w:r w:rsidR="0047305B">
              <w:rPr>
                <w:rStyle w:val="ac"/>
                <w:rFonts w:ascii="Times New Roman" w:hAnsi="Times New Roman" w:cs="Times New Roman"/>
                <w:noProof/>
                <w:color w:val="auto"/>
                <w:sz w:val="28"/>
                <w:szCs w:val="28"/>
                <w:lang w:eastAsia="ru-RU"/>
              </w:rPr>
              <w:t>т ЗАО МКБ "Приватбанк» г.Иваново</w:t>
            </w:r>
            <w:r w:rsidR="00126B75" w:rsidRPr="00126B75">
              <w:rPr>
                <w:rFonts w:ascii="Times New Roman" w:hAnsi="Times New Roman" w:cs="Times New Roman"/>
                <w:noProof/>
                <w:webHidden/>
                <w:sz w:val="28"/>
                <w:szCs w:val="28"/>
              </w:rPr>
              <w:tab/>
            </w:r>
            <w:r w:rsidRPr="00126B75">
              <w:rPr>
                <w:rFonts w:ascii="Times New Roman" w:hAnsi="Times New Roman" w:cs="Times New Roman"/>
                <w:noProof/>
                <w:webHidden/>
                <w:sz w:val="28"/>
                <w:szCs w:val="28"/>
              </w:rPr>
              <w:fldChar w:fldCharType="begin"/>
            </w:r>
            <w:r w:rsidR="00126B75" w:rsidRPr="00126B75">
              <w:rPr>
                <w:rFonts w:ascii="Times New Roman" w:hAnsi="Times New Roman" w:cs="Times New Roman"/>
                <w:noProof/>
                <w:webHidden/>
                <w:sz w:val="28"/>
                <w:szCs w:val="28"/>
              </w:rPr>
              <w:instrText xml:space="preserve"> PAGEREF _Toc360362456 \h </w:instrText>
            </w:r>
            <w:r w:rsidRPr="00126B75">
              <w:rPr>
                <w:rFonts w:ascii="Times New Roman" w:hAnsi="Times New Roman" w:cs="Times New Roman"/>
                <w:noProof/>
                <w:webHidden/>
                <w:sz w:val="28"/>
                <w:szCs w:val="28"/>
              </w:rPr>
            </w:r>
            <w:r w:rsidRPr="00126B75">
              <w:rPr>
                <w:rFonts w:ascii="Times New Roman" w:hAnsi="Times New Roman" w:cs="Times New Roman"/>
                <w:noProof/>
                <w:webHidden/>
                <w:sz w:val="28"/>
                <w:szCs w:val="28"/>
              </w:rPr>
              <w:fldChar w:fldCharType="separate"/>
            </w:r>
            <w:r w:rsidR="00126B75">
              <w:rPr>
                <w:rFonts w:ascii="Times New Roman" w:hAnsi="Times New Roman" w:cs="Times New Roman"/>
                <w:noProof/>
                <w:webHidden/>
                <w:sz w:val="28"/>
                <w:szCs w:val="28"/>
              </w:rPr>
              <w:t>1</w:t>
            </w:r>
            <w:r w:rsidR="00413AEB">
              <w:rPr>
                <w:rFonts w:ascii="Times New Roman" w:hAnsi="Times New Roman" w:cs="Times New Roman"/>
                <w:noProof/>
                <w:webHidden/>
                <w:sz w:val="28"/>
                <w:szCs w:val="28"/>
              </w:rPr>
              <w:t>5</w:t>
            </w:r>
            <w:r w:rsidRPr="00126B75">
              <w:rPr>
                <w:rFonts w:ascii="Times New Roman" w:hAnsi="Times New Roman" w:cs="Times New Roman"/>
                <w:noProof/>
                <w:webHidden/>
                <w:sz w:val="28"/>
                <w:szCs w:val="28"/>
              </w:rPr>
              <w:fldChar w:fldCharType="end"/>
            </w:r>
          </w:hyperlink>
        </w:p>
        <w:p w:rsidR="005F1DF9" w:rsidRDefault="005F1DF9" w:rsidP="005F1DF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4. </w:t>
          </w:r>
          <w:r w:rsidRPr="005F1DF9">
            <w:rPr>
              <w:rFonts w:ascii="Times New Roman" w:hAnsi="Times New Roman" w:cs="Times New Roman"/>
              <w:sz w:val="28"/>
              <w:szCs w:val="28"/>
            </w:rPr>
            <w:t>Методика оценки кредитоспособности заемщика в ЗАО МКБ «Москомприватбанк»</w:t>
          </w:r>
          <w:r>
            <w:rPr>
              <w:rFonts w:ascii="Times New Roman" w:hAnsi="Times New Roman" w:cs="Times New Roman"/>
              <w:sz w:val="28"/>
              <w:szCs w:val="28"/>
            </w:rPr>
            <w:t>……………………………………………………………2</w:t>
          </w:r>
          <w:r w:rsidR="00413AEB">
            <w:rPr>
              <w:rFonts w:ascii="Times New Roman" w:hAnsi="Times New Roman" w:cs="Times New Roman"/>
              <w:sz w:val="28"/>
              <w:szCs w:val="28"/>
            </w:rPr>
            <w:t>7</w:t>
          </w:r>
        </w:p>
        <w:p w:rsidR="00126B75" w:rsidRPr="005F1DF9" w:rsidRDefault="00697C2B" w:rsidP="005F1DF9">
          <w:pPr>
            <w:autoSpaceDE w:val="0"/>
            <w:autoSpaceDN w:val="0"/>
            <w:adjustRightInd w:val="0"/>
            <w:rPr>
              <w:rFonts w:ascii="Times New Roman" w:hAnsi="Times New Roman" w:cs="Times New Roman"/>
              <w:color w:val="000000"/>
              <w:sz w:val="28"/>
              <w:szCs w:val="28"/>
            </w:rPr>
          </w:pPr>
          <w:hyperlink w:anchor="_Toc360362457" w:history="1">
            <w:r w:rsidR="005F1DF9">
              <w:rPr>
                <w:rStyle w:val="ac"/>
                <w:rFonts w:ascii="Times New Roman" w:hAnsi="Times New Roman" w:cs="Times New Roman"/>
                <w:noProof/>
                <w:color w:val="auto"/>
                <w:sz w:val="28"/>
                <w:szCs w:val="28"/>
              </w:rPr>
              <w:t>5</w:t>
            </w:r>
            <w:r w:rsidR="00126B75" w:rsidRPr="00126B75">
              <w:rPr>
                <w:rStyle w:val="ac"/>
                <w:rFonts w:ascii="Times New Roman" w:hAnsi="Times New Roman" w:cs="Times New Roman"/>
                <w:noProof/>
                <w:color w:val="auto"/>
                <w:sz w:val="28"/>
                <w:szCs w:val="28"/>
              </w:rPr>
              <w:t>. Перспективы развития банковского карточного рынка. Рекомендации по повышению эффективности работы с пластиковыми картами в МКБ «Приватбанк»</w:t>
            </w:r>
            <w:r w:rsidR="005F1DF9">
              <w:rPr>
                <w:rFonts w:ascii="Times New Roman" w:hAnsi="Times New Roman" w:cs="Times New Roman"/>
                <w:noProof/>
                <w:webHidden/>
                <w:sz w:val="28"/>
                <w:szCs w:val="28"/>
              </w:rPr>
              <w:t>…………………………………………………………………….4</w:t>
            </w:r>
            <w:r w:rsidR="00413AEB">
              <w:rPr>
                <w:rFonts w:ascii="Times New Roman" w:hAnsi="Times New Roman" w:cs="Times New Roman"/>
                <w:noProof/>
                <w:webHidden/>
                <w:sz w:val="28"/>
                <w:szCs w:val="28"/>
              </w:rPr>
              <w:t>1</w:t>
            </w:r>
          </w:hyperlink>
        </w:p>
        <w:p w:rsidR="00126B75" w:rsidRPr="00126B75" w:rsidRDefault="00697C2B" w:rsidP="00126B75">
          <w:pPr>
            <w:pStyle w:val="22"/>
            <w:tabs>
              <w:tab w:val="right" w:leader="dot" w:pos="9345"/>
            </w:tabs>
            <w:spacing w:after="0" w:line="360" w:lineRule="auto"/>
            <w:ind w:left="0"/>
            <w:rPr>
              <w:rFonts w:ascii="Times New Roman" w:eastAsiaTheme="minorEastAsia" w:hAnsi="Times New Roman" w:cs="Times New Roman"/>
              <w:noProof/>
              <w:sz w:val="28"/>
              <w:szCs w:val="28"/>
              <w:lang w:eastAsia="ru-RU"/>
            </w:rPr>
          </w:pPr>
          <w:hyperlink w:anchor="_Toc360362458" w:history="1">
            <w:r w:rsidR="00126B75" w:rsidRPr="00126B75">
              <w:rPr>
                <w:rStyle w:val="ac"/>
                <w:rFonts w:ascii="Times New Roman" w:hAnsi="Times New Roman" w:cs="Times New Roman"/>
                <w:noProof/>
                <w:color w:val="auto"/>
                <w:sz w:val="28"/>
                <w:szCs w:val="28"/>
              </w:rPr>
              <w:t>Заключение</w:t>
            </w:r>
            <w:r w:rsidR="00126B75" w:rsidRPr="00126B75">
              <w:rPr>
                <w:rFonts w:ascii="Times New Roman" w:hAnsi="Times New Roman" w:cs="Times New Roman"/>
                <w:noProof/>
                <w:webHidden/>
                <w:sz w:val="28"/>
                <w:szCs w:val="28"/>
              </w:rPr>
              <w:tab/>
            </w:r>
            <w:r w:rsidR="005F1DF9">
              <w:rPr>
                <w:rFonts w:ascii="Times New Roman" w:hAnsi="Times New Roman" w:cs="Times New Roman"/>
                <w:noProof/>
                <w:webHidden/>
                <w:sz w:val="28"/>
                <w:szCs w:val="28"/>
              </w:rPr>
              <w:t>5</w:t>
            </w:r>
            <w:r w:rsidR="00413AEB">
              <w:rPr>
                <w:rFonts w:ascii="Times New Roman" w:hAnsi="Times New Roman" w:cs="Times New Roman"/>
                <w:noProof/>
                <w:webHidden/>
                <w:sz w:val="28"/>
                <w:szCs w:val="28"/>
              </w:rPr>
              <w:t>4</w:t>
            </w:r>
          </w:hyperlink>
        </w:p>
        <w:p w:rsidR="00126B75" w:rsidRDefault="00697C2B" w:rsidP="00126B75">
          <w:pPr>
            <w:pStyle w:val="22"/>
            <w:tabs>
              <w:tab w:val="right" w:leader="dot" w:pos="9345"/>
            </w:tabs>
            <w:spacing w:after="0" w:line="360" w:lineRule="auto"/>
            <w:ind w:left="0"/>
            <w:rPr>
              <w:rFonts w:eastAsiaTheme="minorEastAsia"/>
              <w:noProof/>
              <w:lang w:eastAsia="ru-RU"/>
            </w:rPr>
          </w:pPr>
          <w:hyperlink w:anchor="_Toc360362459" w:history="1">
            <w:r w:rsidR="00126B75" w:rsidRPr="00126B75">
              <w:rPr>
                <w:rStyle w:val="ac"/>
                <w:rFonts w:ascii="Times New Roman" w:hAnsi="Times New Roman" w:cs="Times New Roman"/>
                <w:noProof/>
                <w:color w:val="auto"/>
                <w:sz w:val="28"/>
                <w:szCs w:val="28"/>
                <w:lang w:eastAsia="ru-RU"/>
              </w:rPr>
              <w:t>Список используемых источников</w:t>
            </w:r>
            <w:r w:rsidR="00126B75" w:rsidRPr="00126B75">
              <w:rPr>
                <w:rFonts w:ascii="Times New Roman" w:hAnsi="Times New Roman" w:cs="Times New Roman"/>
                <w:noProof/>
                <w:webHidden/>
                <w:sz w:val="28"/>
                <w:szCs w:val="28"/>
              </w:rPr>
              <w:tab/>
            </w:r>
            <w:r w:rsidR="005F1DF9">
              <w:rPr>
                <w:rFonts w:ascii="Times New Roman" w:hAnsi="Times New Roman" w:cs="Times New Roman"/>
                <w:noProof/>
                <w:webHidden/>
                <w:sz w:val="28"/>
                <w:szCs w:val="28"/>
              </w:rPr>
              <w:t>5</w:t>
            </w:r>
            <w:r w:rsidR="00413AEB">
              <w:rPr>
                <w:rFonts w:ascii="Times New Roman" w:hAnsi="Times New Roman" w:cs="Times New Roman"/>
                <w:noProof/>
                <w:webHidden/>
                <w:sz w:val="28"/>
                <w:szCs w:val="28"/>
              </w:rPr>
              <w:t>5</w:t>
            </w:r>
          </w:hyperlink>
        </w:p>
        <w:p w:rsidR="00062354" w:rsidRDefault="00697C2B">
          <w:r>
            <w:rPr>
              <w:b/>
              <w:bCs/>
            </w:rPr>
            <w:fldChar w:fldCharType="end"/>
          </w:r>
        </w:p>
      </w:sdtContent>
    </w:sdt>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Default="00D76E1F" w:rsidP="00D76E1F">
      <w:pPr>
        <w:spacing w:after="0" w:line="360" w:lineRule="auto"/>
        <w:ind w:firstLine="709"/>
        <w:jc w:val="both"/>
        <w:rPr>
          <w:rFonts w:ascii="Times New Roman" w:eastAsiaTheme="minorEastAsia" w:hAnsi="Times New Roman" w:cs="Times New Roman"/>
          <w:sz w:val="28"/>
          <w:szCs w:val="28"/>
          <w:lang w:bidi="en-US"/>
        </w:rPr>
      </w:pPr>
    </w:p>
    <w:p w:rsidR="00D76E1F" w:rsidRPr="00D00641" w:rsidRDefault="00D00641" w:rsidP="00D00641">
      <w:pPr>
        <w:pStyle w:val="3"/>
        <w:spacing w:before="0" w:line="360" w:lineRule="auto"/>
        <w:jc w:val="center"/>
        <w:rPr>
          <w:rFonts w:ascii="Times New Roman" w:eastAsiaTheme="minorEastAsia" w:hAnsi="Times New Roman" w:cs="Times New Roman"/>
          <w:color w:val="auto"/>
          <w:sz w:val="28"/>
          <w:szCs w:val="28"/>
          <w:lang w:bidi="en-US"/>
        </w:rPr>
      </w:pPr>
      <w:bookmarkStart w:id="0" w:name="_GoBack"/>
      <w:bookmarkStart w:id="1" w:name="_Toc360362451"/>
      <w:bookmarkEnd w:id="0"/>
      <w:r>
        <w:rPr>
          <w:rFonts w:ascii="Times New Roman" w:eastAsiaTheme="minorEastAsia" w:hAnsi="Times New Roman" w:cs="Times New Roman"/>
          <w:color w:val="auto"/>
          <w:sz w:val="28"/>
          <w:szCs w:val="28"/>
          <w:lang w:bidi="en-US"/>
        </w:rPr>
        <w:lastRenderedPageBreak/>
        <w:t>Введение</w:t>
      </w:r>
      <w:bookmarkEnd w:id="1"/>
    </w:p>
    <w:p w:rsidR="00D76E1F" w:rsidRPr="00950B84" w:rsidRDefault="00D76E1F" w:rsidP="00D76E1F">
      <w:pPr>
        <w:spacing w:after="0" w:line="360" w:lineRule="auto"/>
        <w:ind w:firstLine="709"/>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xml:space="preserve">В соответствии с планом местом прохождения преддипломной практики был выбран </w:t>
      </w:r>
      <w:r>
        <w:rPr>
          <w:rFonts w:ascii="Times New Roman" w:eastAsiaTheme="minorEastAsia" w:hAnsi="Times New Roman" w:cs="Times New Roman"/>
          <w:sz w:val="28"/>
          <w:szCs w:val="28"/>
          <w:lang w:bidi="en-US"/>
        </w:rPr>
        <w:t xml:space="preserve">коммерческий банк </w:t>
      </w:r>
      <w:r w:rsidR="00E32EDB">
        <w:rPr>
          <w:rFonts w:ascii="Times New Roman" w:eastAsiaTheme="minorEastAsia" w:hAnsi="Times New Roman" w:cs="Times New Roman"/>
          <w:sz w:val="28"/>
          <w:szCs w:val="28"/>
          <w:lang w:bidi="en-US"/>
        </w:rPr>
        <w:t>МКБ  «П</w:t>
      </w:r>
      <w:r>
        <w:rPr>
          <w:rFonts w:ascii="Times New Roman" w:eastAsiaTheme="minorEastAsia" w:hAnsi="Times New Roman" w:cs="Times New Roman"/>
          <w:sz w:val="28"/>
          <w:szCs w:val="28"/>
          <w:lang w:bidi="en-US"/>
        </w:rPr>
        <w:t>риватбанк»</w:t>
      </w:r>
      <w:r w:rsidR="0047305B">
        <w:rPr>
          <w:rFonts w:ascii="Times New Roman" w:eastAsiaTheme="minorEastAsia" w:hAnsi="Times New Roman" w:cs="Times New Roman"/>
          <w:sz w:val="28"/>
          <w:szCs w:val="28"/>
          <w:lang w:bidi="en-US"/>
        </w:rPr>
        <w:t xml:space="preserve"> г. Иваново</w:t>
      </w:r>
      <w:r w:rsidR="00E32EDB">
        <w:rPr>
          <w:rFonts w:ascii="Times New Roman" w:eastAsiaTheme="minorEastAsia" w:hAnsi="Times New Roman" w:cs="Times New Roman"/>
          <w:sz w:val="28"/>
          <w:szCs w:val="28"/>
          <w:lang w:bidi="en-US"/>
        </w:rPr>
        <w:t>.</w:t>
      </w:r>
    </w:p>
    <w:p w:rsidR="00D76E1F" w:rsidRPr="00950B84" w:rsidRDefault="00D76E1F" w:rsidP="00D76E1F">
      <w:pPr>
        <w:spacing w:after="0" w:line="360" w:lineRule="auto"/>
        <w:ind w:firstLine="709"/>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Основными задачами производственной практики являются:</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ознакомление с различными видами профессиональной деятельности в банковской системе: экономической, маркетинговой, информационно-аналитической, диагностической, консультационной;</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закрепление и практическое применение знаний и умений, по</w:t>
      </w:r>
      <w:r w:rsidRPr="00950B84">
        <w:rPr>
          <w:rFonts w:ascii="Times New Roman" w:eastAsiaTheme="minorEastAsia" w:hAnsi="Times New Roman" w:cs="Times New Roman"/>
          <w:sz w:val="28"/>
          <w:szCs w:val="28"/>
          <w:lang w:bidi="en-US"/>
        </w:rPr>
        <w:softHyphen/>
        <w:t>лученных в вузе;</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накопление опыта и закрепление имеющихся навыков управ</w:t>
      </w:r>
      <w:r w:rsidRPr="00950B84">
        <w:rPr>
          <w:rFonts w:ascii="Times New Roman" w:eastAsiaTheme="minorEastAsia" w:hAnsi="Times New Roman" w:cs="Times New Roman"/>
          <w:sz w:val="28"/>
          <w:szCs w:val="28"/>
          <w:lang w:bidi="en-US"/>
        </w:rPr>
        <w:softHyphen/>
        <w:t>ленческой, организационной, экспертно-аналитической деятельности;</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формирование у студентов профессиональных умений и навыков, необходимых для осуществления профессиональной деятельности;</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-овладение навыками самостоятельного выполнения функций, возлагаемых на менеджеров банков;</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развитие у студентов потребности в самообразовании и самосовершенствовании;</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-приобретение студентами навыков анализа результатов своего труда;</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выработка у студентов творческого, исследовательского подхода к управленческой и социальной деятельности;</w:t>
      </w:r>
    </w:p>
    <w:p w:rsidR="00D76E1F" w:rsidRPr="00950B84" w:rsidRDefault="00D76E1F" w:rsidP="00D76E1F">
      <w:pPr>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отработка умений обработки учетной и экономической информации с помощью автоматизированных систем управления;</w:t>
      </w:r>
    </w:p>
    <w:p w:rsidR="00D76E1F" w:rsidRPr="00950B84" w:rsidRDefault="00D76E1F" w:rsidP="00D76E1F">
      <w:pPr>
        <w:widowControl w:val="0"/>
        <w:autoSpaceDE w:val="0"/>
        <w:autoSpaceDN w:val="0"/>
        <w:adjustRightInd w:val="0"/>
        <w:spacing w:after="0" w:line="360" w:lineRule="auto"/>
        <w:jc w:val="both"/>
        <w:rPr>
          <w:rFonts w:ascii="Times New Roman" w:eastAsiaTheme="minorEastAsia" w:hAnsi="Times New Roman" w:cs="Times New Roman"/>
          <w:sz w:val="28"/>
          <w:szCs w:val="28"/>
          <w:lang w:bidi="en-US"/>
        </w:rPr>
      </w:pPr>
      <w:r w:rsidRPr="00950B84">
        <w:rPr>
          <w:rFonts w:ascii="Times New Roman" w:eastAsiaTheme="minorEastAsia" w:hAnsi="Times New Roman" w:cs="Times New Roman"/>
          <w:sz w:val="28"/>
          <w:szCs w:val="28"/>
          <w:lang w:bidi="en-US"/>
        </w:rPr>
        <w:t>- сбор практического материала  к на</w:t>
      </w:r>
      <w:r w:rsidRPr="00950B84">
        <w:rPr>
          <w:rFonts w:ascii="Times New Roman" w:eastAsiaTheme="minorEastAsia" w:hAnsi="Times New Roman" w:cs="Times New Roman"/>
          <w:sz w:val="28"/>
          <w:szCs w:val="28"/>
          <w:lang w:bidi="en-US"/>
        </w:rPr>
        <w:softHyphen/>
        <w:t>писанию ВКР.</w:t>
      </w:r>
    </w:p>
    <w:p w:rsidR="00D76E1F" w:rsidRPr="00950B84" w:rsidRDefault="00D76E1F" w:rsidP="00D76E1F">
      <w:pPr>
        <w:widowControl w:val="0"/>
        <w:spacing w:after="0" w:line="360" w:lineRule="auto"/>
        <w:ind w:firstLine="709"/>
        <w:jc w:val="both"/>
        <w:rPr>
          <w:rFonts w:ascii="Times New Roman" w:eastAsiaTheme="minorEastAsia" w:hAnsi="Times New Roman" w:cs="Times New Roman"/>
          <w:snapToGrid w:val="0"/>
          <w:sz w:val="28"/>
          <w:szCs w:val="28"/>
          <w:lang w:bidi="en-US"/>
        </w:rPr>
      </w:pPr>
      <w:r w:rsidRPr="00950B84">
        <w:rPr>
          <w:rFonts w:ascii="Times New Roman" w:eastAsiaTheme="minorEastAsia" w:hAnsi="Times New Roman" w:cs="Times New Roman"/>
          <w:snapToGrid w:val="0"/>
          <w:sz w:val="28"/>
          <w:szCs w:val="28"/>
          <w:lang w:bidi="en-US"/>
        </w:rPr>
        <w:t>В работе применены различные методы анализа: сравнительный, факторный, метод наблюдения, а также метод экспертных оценок.</w:t>
      </w:r>
    </w:p>
    <w:p w:rsidR="00D76E1F" w:rsidRDefault="00D76E1F" w:rsidP="00D76E1F">
      <w:pPr>
        <w:widowControl w:val="0"/>
        <w:spacing w:after="0" w:line="360" w:lineRule="auto"/>
        <w:ind w:firstLine="709"/>
        <w:jc w:val="both"/>
        <w:rPr>
          <w:rFonts w:ascii="Times New Roman" w:eastAsiaTheme="minorEastAsia" w:hAnsi="Times New Roman" w:cs="Times New Roman"/>
          <w:snapToGrid w:val="0"/>
          <w:sz w:val="28"/>
          <w:szCs w:val="28"/>
          <w:lang w:bidi="en-US"/>
        </w:rPr>
      </w:pPr>
      <w:r w:rsidRPr="00950B84">
        <w:rPr>
          <w:rFonts w:ascii="Times New Roman" w:eastAsiaTheme="minorEastAsia" w:hAnsi="Times New Roman" w:cs="Times New Roman"/>
          <w:snapToGrid w:val="0"/>
          <w:sz w:val="28"/>
          <w:szCs w:val="28"/>
          <w:lang w:bidi="en-US"/>
        </w:rPr>
        <w:t>В основе работы лежат документы банка, монографии, диссертации, периодическая литература, а также личный опыт.</w:t>
      </w:r>
    </w:p>
    <w:p w:rsidR="00D76E1F" w:rsidRDefault="00D76E1F" w:rsidP="00D76E1F">
      <w:pPr>
        <w:widowControl w:val="0"/>
        <w:spacing w:after="0" w:line="360" w:lineRule="auto"/>
        <w:ind w:firstLine="709"/>
        <w:jc w:val="both"/>
        <w:rPr>
          <w:rFonts w:ascii="Times New Roman" w:eastAsiaTheme="minorEastAsia" w:hAnsi="Times New Roman" w:cs="Times New Roman"/>
          <w:snapToGrid w:val="0"/>
          <w:sz w:val="28"/>
          <w:szCs w:val="28"/>
          <w:lang w:bidi="en-US"/>
        </w:rPr>
      </w:pPr>
    </w:p>
    <w:p w:rsidR="00D00641" w:rsidRDefault="00D00641" w:rsidP="00D76E1F">
      <w:pPr>
        <w:widowControl w:val="0"/>
        <w:spacing w:after="0" w:line="360" w:lineRule="auto"/>
        <w:ind w:firstLine="709"/>
        <w:jc w:val="both"/>
        <w:rPr>
          <w:rFonts w:ascii="Times New Roman" w:eastAsiaTheme="minorEastAsia" w:hAnsi="Times New Roman" w:cs="Times New Roman"/>
          <w:snapToGrid w:val="0"/>
          <w:sz w:val="28"/>
          <w:szCs w:val="28"/>
          <w:lang w:bidi="en-US"/>
        </w:rPr>
      </w:pPr>
    </w:p>
    <w:p w:rsidR="00D00641" w:rsidRDefault="00D00641" w:rsidP="00D76E1F">
      <w:pPr>
        <w:widowControl w:val="0"/>
        <w:spacing w:after="0" w:line="360" w:lineRule="auto"/>
        <w:ind w:firstLine="709"/>
        <w:jc w:val="both"/>
        <w:rPr>
          <w:rFonts w:ascii="Times New Roman" w:eastAsiaTheme="minorEastAsia" w:hAnsi="Times New Roman" w:cs="Times New Roman"/>
          <w:snapToGrid w:val="0"/>
          <w:sz w:val="28"/>
          <w:szCs w:val="28"/>
          <w:lang w:bidi="en-US"/>
        </w:rPr>
      </w:pPr>
    </w:p>
    <w:p w:rsidR="00D00641" w:rsidRPr="00D00641" w:rsidRDefault="00D00641" w:rsidP="00D00641">
      <w:pPr>
        <w:pStyle w:val="2"/>
        <w:spacing w:before="0" w:line="360" w:lineRule="auto"/>
        <w:jc w:val="center"/>
        <w:rPr>
          <w:rFonts w:ascii="Times New Roman" w:eastAsiaTheme="minorEastAsia" w:hAnsi="Times New Roman" w:cs="Times New Roman"/>
          <w:snapToGrid w:val="0"/>
          <w:color w:val="auto"/>
          <w:sz w:val="28"/>
          <w:szCs w:val="28"/>
          <w:lang w:bidi="en-US"/>
        </w:rPr>
      </w:pPr>
      <w:bookmarkStart w:id="2" w:name="_Toc360362452"/>
      <w:r w:rsidRPr="00D00641">
        <w:rPr>
          <w:rFonts w:ascii="Times New Roman" w:eastAsiaTheme="minorEastAsia" w:hAnsi="Times New Roman" w:cs="Times New Roman"/>
          <w:snapToGrid w:val="0"/>
          <w:color w:val="auto"/>
          <w:sz w:val="28"/>
          <w:szCs w:val="28"/>
          <w:lang w:bidi="en-US"/>
        </w:rPr>
        <w:lastRenderedPageBreak/>
        <w:t>1. Краткая характеристика МКБ «Москомприватбанк»</w:t>
      </w:r>
      <w:bookmarkEnd w:id="2"/>
    </w:p>
    <w:p w:rsidR="00D00641" w:rsidRPr="00D00641" w:rsidRDefault="00D00641" w:rsidP="00D00641">
      <w:pPr>
        <w:spacing w:after="0" w:line="360" w:lineRule="auto"/>
        <w:ind w:firstLine="709"/>
        <w:jc w:val="both"/>
        <w:rPr>
          <w:rFonts w:ascii="Times New Roman" w:hAnsi="Times New Roman" w:cs="Times New Roman"/>
          <w:sz w:val="28"/>
          <w:szCs w:val="28"/>
        </w:rPr>
      </w:pPr>
      <w:r w:rsidRPr="00D00641">
        <w:rPr>
          <w:rFonts w:ascii="Times New Roman" w:hAnsi="Times New Roman" w:cs="Times New Roman"/>
          <w:sz w:val="28"/>
          <w:szCs w:val="28"/>
        </w:rPr>
        <w:t>В 1994 году ЗАО МКБ «</w:t>
      </w:r>
      <w:r w:rsidR="00E32EDB">
        <w:rPr>
          <w:rFonts w:ascii="Times New Roman" w:hAnsi="Times New Roman" w:cs="Times New Roman"/>
          <w:sz w:val="28"/>
          <w:szCs w:val="28"/>
        </w:rPr>
        <w:t>П</w:t>
      </w:r>
      <w:r w:rsidRPr="00D00641">
        <w:rPr>
          <w:rFonts w:ascii="Times New Roman" w:hAnsi="Times New Roman" w:cs="Times New Roman"/>
          <w:sz w:val="28"/>
          <w:szCs w:val="28"/>
        </w:rPr>
        <w:t>риватбанк» было создано на базе представительства украинского КБ «ПриватБанк» в Москве. Среди крупнейших финансовых учреждений России банк занимает 9 место по количеству собственных банкоматов и 10 место по количеству эмитированных пластиковых карт.</w:t>
      </w:r>
    </w:p>
    <w:p w:rsidR="00D00641" w:rsidRDefault="00D00641" w:rsidP="00D00641">
      <w:pPr>
        <w:spacing w:after="0" w:line="360" w:lineRule="auto"/>
        <w:ind w:firstLine="709"/>
        <w:jc w:val="both"/>
        <w:rPr>
          <w:rFonts w:ascii="Times New Roman" w:hAnsi="Times New Roman" w:cs="Times New Roman"/>
          <w:sz w:val="28"/>
          <w:szCs w:val="28"/>
        </w:rPr>
      </w:pPr>
      <w:r w:rsidRPr="00D00641">
        <w:rPr>
          <w:rFonts w:ascii="Times New Roman" w:hAnsi="Times New Roman" w:cs="Times New Roman"/>
          <w:sz w:val="28"/>
          <w:szCs w:val="28"/>
        </w:rPr>
        <w:t>ЗАО МКБ «</w:t>
      </w:r>
      <w:r w:rsidR="00E32EDB">
        <w:rPr>
          <w:rFonts w:ascii="Times New Roman" w:hAnsi="Times New Roman" w:cs="Times New Roman"/>
          <w:sz w:val="28"/>
          <w:szCs w:val="28"/>
        </w:rPr>
        <w:t>П</w:t>
      </w:r>
      <w:r w:rsidRPr="00D00641">
        <w:rPr>
          <w:rFonts w:ascii="Times New Roman" w:hAnsi="Times New Roman" w:cs="Times New Roman"/>
          <w:sz w:val="28"/>
          <w:szCs w:val="28"/>
        </w:rPr>
        <w:t>риватбанк» предлагает широкий перечень банковских продуктов, учитывающих текущие и перспективные потребности клиентов и партнёров. Два десятилетия банк с успехом сочетает индивидуальный подход и высокие технологии, предоставляя клиентам инновационные решения их финансовых задач. Одним из первых в мире банк начал использовать одноразовые SMS-пароли для защиты счетов своих клиентов, выпустил платежные мини-терминалы, реализовал вход в Интернет-банкинг через QR-код и создал множество финансовых мобильных приложений.</w:t>
      </w:r>
    </w:p>
    <w:p w:rsidR="00C91F1B" w:rsidRPr="00C91F1B" w:rsidRDefault="00C91F1B" w:rsidP="00C91F1B">
      <w:pPr>
        <w:pStyle w:val="contep"/>
        <w:spacing w:before="0" w:beforeAutospacing="0" w:after="0" w:afterAutospacing="0" w:line="360" w:lineRule="auto"/>
        <w:ind w:firstLine="709"/>
        <w:jc w:val="both"/>
        <w:rPr>
          <w:sz w:val="28"/>
          <w:szCs w:val="28"/>
        </w:rPr>
      </w:pPr>
      <w:r w:rsidRPr="00C91F1B">
        <w:rPr>
          <w:rStyle w:val="aa"/>
          <w:i w:val="0"/>
          <w:sz w:val="28"/>
          <w:szCs w:val="28"/>
        </w:rPr>
        <w:t>Центральным Банком Российской Федерации</w:t>
      </w:r>
      <w:r w:rsidRPr="00C91F1B">
        <w:rPr>
          <w:sz w:val="28"/>
          <w:szCs w:val="28"/>
        </w:rPr>
        <w:t xml:space="preserve"> (ЦБРФ) 30 мая 2006 года была выдана Генеральная лицензия на осуществление банковских операций и лицензия на привлечение во вклады и размещение драгоценных металлов №2827 Закрытому Акционерному Обществу Московский Коммерческий Банк </w:t>
      </w:r>
      <w:r w:rsidRPr="00C91F1B">
        <w:rPr>
          <w:rStyle w:val="ab"/>
          <w:b w:val="0"/>
          <w:sz w:val="28"/>
          <w:szCs w:val="28"/>
        </w:rPr>
        <w:t>(ЗАО МКБ) "ПриватБанк"</w:t>
      </w:r>
      <w:r w:rsidRPr="00C91F1B">
        <w:rPr>
          <w:sz w:val="28"/>
          <w:szCs w:val="28"/>
        </w:rPr>
        <w:t>, входящему в международную банковскую группу "ПриватБанк".</w:t>
      </w:r>
    </w:p>
    <w:p w:rsidR="00C91F1B" w:rsidRPr="00C91F1B" w:rsidRDefault="00C91F1B" w:rsidP="00C91F1B">
      <w:pPr>
        <w:pStyle w:val="contep"/>
        <w:spacing w:before="0" w:beforeAutospacing="0" w:after="0" w:afterAutospacing="0" w:line="360" w:lineRule="auto"/>
        <w:ind w:firstLine="709"/>
        <w:jc w:val="both"/>
        <w:rPr>
          <w:sz w:val="28"/>
          <w:szCs w:val="28"/>
        </w:rPr>
      </w:pPr>
      <w:r w:rsidRPr="00C91F1B">
        <w:rPr>
          <w:sz w:val="28"/>
          <w:szCs w:val="28"/>
        </w:rPr>
        <w:t xml:space="preserve">С </w:t>
      </w:r>
      <w:r w:rsidRPr="00C91F1B">
        <w:rPr>
          <w:rStyle w:val="bolderred"/>
          <w:sz w:val="28"/>
          <w:szCs w:val="28"/>
        </w:rPr>
        <w:t>1994</w:t>
      </w:r>
      <w:r w:rsidRPr="00C91F1B">
        <w:rPr>
          <w:sz w:val="28"/>
          <w:szCs w:val="28"/>
        </w:rPr>
        <w:t xml:space="preserve"> года банк оказывает как физическим, так и юридическим лицам финансовые услуги на территории Российской Федерации.</w:t>
      </w:r>
    </w:p>
    <w:p w:rsidR="00C91F1B" w:rsidRPr="00C91F1B" w:rsidRDefault="00C91F1B" w:rsidP="00C91F1B">
      <w:pPr>
        <w:pStyle w:val="contep"/>
        <w:spacing w:before="0" w:beforeAutospacing="0" w:after="0" w:afterAutospacing="0" w:line="360" w:lineRule="auto"/>
        <w:ind w:firstLine="709"/>
        <w:jc w:val="both"/>
        <w:rPr>
          <w:sz w:val="28"/>
          <w:szCs w:val="28"/>
        </w:rPr>
      </w:pPr>
      <w:r w:rsidRPr="00C91F1B">
        <w:rPr>
          <w:sz w:val="28"/>
          <w:szCs w:val="28"/>
        </w:rPr>
        <w:t xml:space="preserve">На сегодняшний день обслуживание клиентов в РФ производится в </w:t>
      </w:r>
      <w:r w:rsidRPr="00C91F1B">
        <w:rPr>
          <w:rStyle w:val="bolderred"/>
          <w:sz w:val="28"/>
          <w:szCs w:val="28"/>
        </w:rPr>
        <w:t>25</w:t>
      </w:r>
      <w:r w:rsidRPr="00C91F1B">
        <w:rPr>
          <w:sz w:val="28"/>
          <w:szCs w:val="28"/>
        </w:rPr>
        <w:t xml:space="preserve"> крупнейших регионах с помощью </w:t>
      </w:r>
      <w:hyperlink r:id="rId8" w:history="1">
        <w:r w:rsidRPr="00C91F1B">
          <w:rPr>
            <w:rStyle w:val="ac"/>
            <w:rFonts w:eastAsiaTheme="majorEastAsia"/>
            <w:color w:val="auto"/>
            <w:sz w:val="28"/>
            <w:szCs w:val="28"/>
            <w:u w:val="none"/>
          </w:rPr>
          <w:t>208 отделений банка</w:t>
        </w:r>
      </w:hyperlink>
      <w:r w:rsidRPr="00C91F1B">
        <w:rPr>
          <w:sz w:val="28"/>
          <w:szCs w:val="28"/>
        </w:rPr>
        <w:t>, которые располагаются в Белгородской, Брянской, Ивановской, Курской, Липецкой, Нижегородской, Орловской, Ростовской, Рязанской, Смоленской, Самарской, Тульской, Тверской, Владимирской, Новгородской, Воронежской, Ярославской, Костромской, Волгоградской, Псковской областях, Краснодарском крае, Москве и Московской области, Санкт-Петербурге и Ленинградской области.</w:t>
      </w:r>
    </w:p>
    <w:p w:rsidR="00C91F1B" w:rsidRDefault="00C91F1B" w:rsidP="00C91F1B">
      <w:pPr>
        <w:pStyle w:val="contep"/>
        <w:spacing w:before="0" w:beforeAutospacing="0" w:after="0" w:afterAutospacing="0" w:line="360" w:lineRule="auto"/>
        <w:ind w:firstLine="709"/>
        <w:jc w:val="both"/>
        <w:rPr>
          <w:sz w:val="28"/>
          <w:szCs w:val="28"/>
        </w:rPr>
      </w:pPr>
      <w:r w:rsidRPr="00C91F1B">
        <w:rPr>
          <w:sz w:val="28"/>
          <w:szCs w:val="28"/>
        </w:rPr>
        <w:lastRenderedPageBreak/>
        <w:t xml:space="preserve">Обслуживание предприятий малого и среднего бизнеса, индивидуальных предпринимателей и частных лиц сегодня является приоритетным направлением деятельности ПриватБанка. </w:t>
      </w:r>
    </w:p>
    <w:p w:rsidR="00C91F1B" w:rsidRPr="00C91F1B" w:rsidRDefault="00C91F1B" w:rsidP="00C91F1B">
      <w:pPr>
        <w:pStyle w:val="contep"/>
        <w:spacing w:before="0" w:beforeAutospacing="0" w:after="0" w:afterAutospacing="0" w:line="360" w:lineRule="auto"/>
        <w:ind w:firstLine="709"/>
        <w:jc w:val="both"/>
        <w:rPr>
          <w:sz w:val="28"/>
          <w:szCs w:val="28"/>
        </w:rPr>
      </w:pPr>
      <w:r w:rsidRPr="00C91F1B">
        <w:rPr>
          <w:rStyle w:val="bolderred"/>
          <w:sz w:val="28"/>
          <w:szCs w:val="28"/>
        </w:rPr>
        <w:t>Социальная направленность</w:t>
      </w:r>
      <w:r w:rsidRPr="00C91F1B">
        <w:rPr>
          <w:sz w:val="28"/>
          <w:szCs w:val="28"/>
        </w:rPr>
        <w:t xml:space="preserve"> и применение </w:t>
      </w:r>
      <w:r w:rsidRPr="00C91F1B">
        <w:rPr>
          <w:rStyle w:val="emme"/>
          <w:sz w:val="28"/>
          <w:szCs w:val="28"/>
        </w:rPr>
        <w:t>передовых банковских технологий</w:t>
      </w:r>
      <w:r w:rsidRPr="00C91F1B">
        <w:rPr>
          <w:sz w:val="28"/>
          <w:szCs w:val="28"/>
        </w:rPr>
        <w:t xml:space="preserve"> в сочетании со стремлением обеспечить индивидуальный подход к каждому клиенту являются основными конкурентными отличиями ПриватБанка.</w:t>
      </w:r>
    </w:p>
    <w:p w:rsidR="00D00641" w:rsidRDefault="00C91F1B" w:rsidP="00D00641">
      <w:pPr>
        <w:spacing w:after="0" w:line="360" w:lineRule="auto"/>
        <w:ind w:firstLine="709"/>
        <w:jc w:val="both"/>
        <w:rPr>
          <w:rFonts w:ascii="Times New Roman" w:hAnsi="Times New Roman" w:cs="Times New Roman"/>
          <w:sz w:val="28"/>
          <w:szCs w:val="28"/>
        </w:rPr>
      </w:pPr>
      <w:r w:rsidRPr="00C91F1B">
        <w:rPr>
          <w:rFonts w:ascii="Times New Roman" w:hAnsi="Times New Roman" w:cs="Times New Roman"/>
          <w:sz w:val="28"/>
          <w:szCs w:val="28"/>
        </w:rPr>
        <w:t xml:space="preserve">Активы банка составляют более </w:t>
      </w:r>
      <w:r w:rsidRPr="00C91F1B">
        <w:rPr>
          <w:rStyle w:val="bolderme"/>
          <w:rFonts w:ascii="Times New Roman" w:hAnsi="Times New Roman" w:cs="Times New Roman"/>
          <w:sz w:val="28"/>
          <w:szCs w:val="28"/>
        </w:rPr>
        <w:t>35 млрд.</w:t>
      </w:r>
      <w:r w:rsidRPr="00C91F1B">
        <w:rPr>
          <w:rFonts w:ascii="Times New Roman" w:hAnsi="Times New Roman" w:cs="Times New Roman"/>
          <w:sz w:val="28"/>
          <w:szCs w:val="28"/>
        </w:rPr>
        <w:t xml:space="preserve"> руб. (по данным </w:t>
      </w:r>
      <w:r w:rsidRPr="00C91F1B">
        <w:rPr>
          <w:rStyle w:val="bolderred"/>
          <w:rFonts w:ascii="Times New Roman" w:hAnsi="Times New Roman" w:cs="Times New Roman"/>
          <w:sz w:val="28"/>
          <w:szCs w:val="28"/>
        </w:rPr>
        <w:t>РБК</w:t>
      </w:r>
      <w:r w:rsidRPr="00C91F1B">
        <w:rPr>
          <w:rStyle w:val="bolderme"/>
          <w:rFonts w:ascii="Times New Roman" w:hAnsi="Times New Roman" w:cs="Times New Roman"/>
          <w:sz w:val="28"/>
          <w:szCs w:val="28"/>
        </w:rPr>
        <w:t>.Рейтинг</w:t>
      </w:r>
      <w:r w:rsidRPr="00C91F1B">
        <w:rPr>
          <w:rFonts w:ascii="Times New Roman" w:hAnsi="Times New Roman" w:cs="Times New Roman"/>
          <w:sz w:val="28"/>
          <w:szCs w:val="28"/>
        </w:rPr>
        <w:t xml:space="preserve">). Этим ЗАО МКБ "ПриватБанк" обеспечивает себе 92-е место в рейтинге ТОП-100 Российских банков, а также 47-е место по размеру депозитного портфеля физических лиц. Кроме того, среди самых крупных банков РФ ПриватБанк занимает 10 место по числу всех выпущенных пластиковых </w:t>
      </w:r>
      <w:hyperlink r:id="rId9" w:history="1">
        <w:r w:rsidRPr="00C91F1B">
          <w:rPr>
            <w:rStyle w:val="ac"/>
            <w:rFonts w:ascii="Times New Roman" w:hAnsi="Times New Roman" w:cs="Times New Roman"/>
            <w:color w:val="auto"/>
            <w:sz w:val="28"/>
            <w:szCs w:val="28"/>
            <w:u w:val="none"/>
          </w:rPr>
          <w:t>банковских карт</w:t>
        </w:r>
      </w:hyperlink>
      <w:r w:rsidRPr="00C91F1B">
        <w:rPr>
          <w:rFonts w:ascii="Times New Roman" w:hAnsi="Times New Roman" w:cs="Times New Roman"/>
          <w:sz w:val="28"/>
          <w:szCs w:val="28"/>
        </w:rPr>
        <w:t xml:space="preserve"> и 9-е место по числу установленных фирменных банкоматов.</w:t>
      </w:r>
    </w:p>
    <w:p w:rsidR="000D4EF5" w:rsidRDefault="000D4EF5" w:rsidP="000D4E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 Основные показатели деятельности</w:t>
      </w:r>
      <w:r w:rsidR="007915A2">
        <w:rPr>
          <w:rFonts w:ascii="Times New Roman" w:hAnsi="Times New Roman" w:cs="Times New Roman"/>
          <w:sz w:val="28"/>
          <w:szCs w:val="28"/>
        </w:rPr>
        <w:t xml:space="preserve"> (рейтинг ТОП-100)</w:t>
      </w:r>
    </w:p>
    <w:tbl>
      <w:tblPr>
        <w:tblStyle w:val="ad"/>
        <w:tblW w:w="0" w:type="auto"/>
        <w:tblLayout w:type="fixed"/>
        <w:tblLook w:val="04A0"/>
      </w:tblPr>
      <w:tblGrid>
        <w:gridCol w:w="735"/>
        <w:gridCol w:w="736"/>
        <w:gridCol w:w="764"/>
        <w:gridCol w:w="1049"/>
        <w:gridCol w:w="590"/>
        <w:gridCol w:w="764"/>
        <w:gridCol w:w="764"/>
        <w:gridCol w:w="793"/>
        <w:gridCol w:w="880"/>
        <w:gridCol w:w="880"/>
        <w:gridCol w:w="880"/>
        <w:gridCol w:w="736"/>
      </w:tblGrid>
      <w:tr w:rsidR="000D4EF5" w:rsidRPr="000D4EF5" w:rsidTr="000D4EF5">
        <w:tc>
          <w:tcPr>
            <w:tcW w:w="735"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Место на 01.06.2012</w:t>
            </w:r>
          </w:p>
        </w:tc>
        <w:tc>
          <w:tcPr>
            <w:tcW w:w="736"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Место на 01.06.2011</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Рег. номер</w:t>
            </w:r>
          </w:p>
        </w:tc>
        <w:tc>
          <w:tcPr>
            <w:tcW w:w="1049"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Наименование банка</w:t>
            </w:r>
          </w:p>
        </w:tc>
        <w:tc>
          <w:tcPr>
            <w:tcW w:w="59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Город</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Активы на 01.06.2012, тыс. рублей</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Активы на 01.06.2011, тыс. рублей</w:t>
            </w:r>
          </w:p>
        </w:tc>
        <w:tc>
          <w:tcPr>
            <w:tcW w:w="793"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Активы – темп прироста за период 01.06.2011–01.06.2012, %</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Собственный капитал на 01.06.2012, тыс. рублей</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Собственный капитал на 01.06.2011, тыс. рублей</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Собственный капитал – темп прироста за период 01.06.2011–01.06.2012, %</w:t>
            </w:r>
          </w:p>
        </w:tc>
        <w:tc>
          <w:tcPr>
            <w:tcW w:w="736"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Место по капиталу на 01.06.2012</w:t>
            </w:r>
          </w:p>
        </w:tc>
      </w:tr>
      <w:tr w:rsidR="000D4EF5" w:rsidRPr="000D4EF5" w:rsidTr="000D4EF5">
        <w:tc>
          <w:tcPr>
            <w:tcW w:w="735" w:type="dxa"/>
            <w:hideMark/>
          </w:tcPr>
          <w:p w:rsidR="000D4EF5" w:rsidRPr="000D4EF5" w:rsidRDefault="000D4EF5" w:rsidP="007915A2">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9</w:t>
            </w:r>
            <w:r w:rsidR="007915A2">
              <w:rPr>
                <w:rFonts w:ascii="Times New Roman" w:eastAsia="Times New Roman" w:hAnsi="Times New Roman" w:cs="Times New Roman"/>
                <w:sz w:val="24"/>
                <w:szCs w:val="24"/>
                <w:lang w:eastAsia="ru-RU"/>
              </w:rPr>
              <w:t>2</w:t>
            </w:r>
          </w:p>
        </w:tc>
        <w:tc>
          <w:tcPr>
            <w:tcW w:w="736"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100</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2 827</w:t>
            </w:r>
          </w:p>
        </w:tc>
        <w:tc>
          <w:tcPr>
            <w:tcW w:w="1049" w:type="dxa"/>
            <w:hideMark/>
          </w:tcPr>
          <w:p w:rsidR="000D4EF5" w:rsidRPr="000D4EF5" w:rsidRDefault="00697C2B" w:rsidP="00E32EDB">
            <w:pPr>
              <w:rPr>
                <w:rFonts w:ascii="Times New Roman" w:eastAsia="Times New Roman" w:hAnsi="Times New Roman" w:cs="Times New Roman"/>
                <w:sz w:val="24"/>
                <w:szCs w:val="24"/>
                <w:lang w:eastAsia="ru-RU"/>
              </w:rPr>
            </w:pPr>
            <w:hyperlink r:id="rId10" w:tgtFrame="blank" w:history="1">
              <w:r w:rsidR="000D4EF5" w:rsidRPr="000D4EF5">
                <w:rPr>
                  <w:rFonts w:ascii="Times New Roman" w:eastAsia="Times New Roman" w:hAnsi="Times New Roman" w:cs="Times New Roman"/>
                  <w:sz w:val="24"/>
                  <w:szCs w:val="24"/>
                  <w:lang w:eastAsia="ru-RU"/>
                </w:rPr>
                <w:t xml:space="preserve">ЗАО МКБ </w:t>
              </w:r>
            </w:hyperlink>
          </w:p>
        </w:tc>
        <w:tc>
          <w:tcPr>
            <w:tcW w:w="59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г. Москва</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39 193 652</w:t>
            </w:r>
          </w:p>
        </w:tc>
        <w:tc>
          <w:tcPr>
            <w:tcW w:w="764"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30 761 009</w:t>
            </w:r>
          </w:p>
        </w:tc>
        <w:tc>
          <w:tcPr>
            <w:tcW w:w="793"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27.4</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2 755 843</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1 794 726</w:t>
            </w:r>
          </w:p>
        </w:tc>
        <w:tc>
          <w:tcPr>
            <w:tcW w:w="88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53.6</w:t>
            </w:r>
          </w:p>
        </w:tc>
        <w:tc>
          <w:tcPr>
            <w:tcW w:w="736"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140</w:t>
            </w:r>
          </w:p>
        </w:tc>
      </w:tr>
    </w:tbl>
    <w:p w:rsidR="00C91F1B" w:rsidRDefault="00C91F1B" w:rsidP="00D00641">
      <w:pPr>
        <w:spacing w:after="0" w:line="360" w:lineRule="auto"/>
        <w:ind w:firstLine="709"/>
        <w:jc w:val="both"/>
        <w:rPr>
          <w:rFonts w:ascii="Times New Roman" w:hAnsi="Times New Roman" w:cs="Times New Roman"/>
          <w:sz w:val="28"/>
          <w:szCs w:val="28"/>
        </w:rPr>
      </w:pPr>
    </w:p>
    <w:p w:rsidR="000D4EF5" w:rsidRDefault="000D4EF5" w:rsidP="00D00641">
      <w:pPr>
        <w:spacing w:after="0" w:line="360" w:lineRule="auto"/>
        <w:ind w:firstLine="709"/>
        <w:jc w:val="both"/>
        <w:rPr>
          <w:rFonts w:ascii="Times New Roman" w:hAnsi="Times New Roman" w:cs="Times New Roman"/>
          <w:sz w:val="28"/>
          <w:szCs w:val="28"/>
        </w:rPr>
      </w:pPr>
    </w:p>
    <w:p w:rsidR="007915A2" w:rsidRDefault="007915A2" w:rsidP="00D00641">
      <w:pPr>
        <w:spacing w:after="0" w:line="360" w:lineRule="auto"/>
        <w:ind w:firstLine="709"/>
        <w:jc w:val="both"/>
        <w:rPr>
          <w:rFonts w:ascii="Times New Roman" w:hAnsi="Times New Roman" w:cs="Times New Roman"/>
          <w:sz w:val="28"/>
          <w:szCs w:val="28"/>
        </w:rPr>
      </w:pPr>
    </w:p>
    <w:p w:rsidR="007915A2" w:rsidRDefault="007915A2" w:rsidP="00D00641">
      <w:pPr>
        <w:spacing w:after="0" w:line="360" w:lineRule="auto"/>
        <w:ind w:firstLine="709"/>
        <w:jc w:val="both"/>
        <w:rPr>
          <w:rFonts w:ascii="Times New Roman" w:hAnsi="Times New Roman" w:cs="Times New Roman"/>
          <w:sz w:val="28"/>
          <w:szCs w:val="28"/>
        </w:rPr>
      </w:pPr>
    </w:p>
    <w:p w:rsidR="000D4EF5" w:rsidRDefault="000D4EF5" w:rsidP="000D4EF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2. Рейтинговая оценка по выданным кредитам</w:t>
      </w:r>
    </w:p>
    <w:tbl>
      <w:tblPr>
        <w:tblStyle w:val="ad"/>
        <w:tblW w:w="0" w:type="auto"/>
        <w:tblLayout w:type="fixed"/>
        <w:tblLook w:val="04A0"/>
      </w:tblPr>
      <w:tblGrid>
        <w:gridCol w:w="920"/>
        <w:gridCol w:w="1270"/>
        <w:gridCol w:w="1089"/>
        <w:gridCol w:w="1382"/>
        <w:gridCol w:w="2470"/>
        <w:gridCol w:w="2297"/>
      </w:tblGrid>
      <w:tr w:rsidR="000D4EF5" w:rsidRPr="000D4EF5" w:rsidTr="000D4EF5">
        <w:trPr>
          <w:trHeight w:val="2413"/>
        </w:trPr>
        <w:tc>
          <w:tcPr>
            <w:tcW w:w="92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Место по итогам 2011 года</w:t>
            </w:r>
          </w:p>
        </w:tc>
        <w:tc>
          <w:tcPr>
            <w:tcW w:w="127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Место в рэнкинге «Эксперта РА» по итогам 2010 года</w:t>
            </w:r>
          </w:p>
        </w:tc>
        <w:tc>
          <w:tcPr>
            <w:tcW w:w="1089"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Банк</w:t>
            </w:r>
          </w:p>
        </w:tc>
        <w:tc>
          <w:tcPr>
            <w:tcW w:w="1382"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Остаток ссудной задолженности по кредитам, выданным МСБ, тыс. рублей</w:t>
            </w:r>
          </w:p>
        </w:tc>
        <w:tc>
          <w:tcPr>
            <w:tcW w:w="247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Темп прироста 01.01.2012/01.01.2011, %</w:t>
            </w:r>
          </w:p>
        </w:tc>
        <w:tc>
          <w:tcPr>
            <w:tcW w:w="2297"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Рейтинг кредитоспособности «Эксперта РА»</w:t>
            </w:r>
          </w:p>
        </w:tc>
      </w:tr>
      <w:tr w:rsidR="000D4EF5" w:rsidRPr="000D4EF5" w:rsidTr="000D4EF5">
        <w:trPr>
          <w:trHeight w:val="314"/>
        </w:trPr>
        <w:tc>
          <w:tcPr>
            <w:tcW w:w="92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29</w:t>
            </w:r>
          </w:p>
        </w:tc>
        <w:tc>
          <w:tcPr>
            <w:tcW w:w="127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35</w:t>
            </w:r>
          </w:p>
        </w:tc>
        <w:tc>
          <w:tcPr>
            <w:tcW w:w="1089" w:type="dxa"/>
            <w:hideMark/>
          </w:tcPr>
          <w:p w:rsidR="000D4EF5" w:rsidRPr="000D4EF5" w:rsidRDefault="00697C2B" w:rsidP="000D4EF5">
            <w:pPr>
              <w:rPr>
                <w:rFonts w:ascii="Times New Roman" w:eastAsia="Times New Roman" w:hAnsi="Times New Roman" w:cs="Times New Roman"/>
                <w:sz w:val="24"/>
                <w:szCs w:val="24"/>
                <w:lang w:eastAsia="ru-RU"/>
              </w:rPr>
            </w:pPr>
            <w:hyperlink r:id="rId11" w:tgtFrame="blank" w:history="1">
              <w:r w:rsidR="000D4EF5" w:rsidRPr="000D4EF5">
                <w:rPr>
                  <w:rFonts w:ascii="Times New Roman" w:eastAsia="Times New Roman" w:hAnsi="Times New Roman" w:cs="Times New Roman"/>
                  <w:sz w:val="24"/>
                  <w:szCs w:val="24"/>
                  <w:lang w:eastAsia="ru-RU"/>
                </w:rPr>
                <w:t>МКБ</w:t>
              </w:r>
            </w:hyperlink>
          </w:p>
        </w:tc>
        <w:tc>
          <w:tcPr>
            <w:tcW w:w="1382"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7 938 728</w:t>
            </w:r>
          </w:p>
        </w:tc>
        <w:tc>
          <w:tcPr>
            <w:tcW w:w="2470"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4 212 550</w:t>
            </w:r>
          </w:p>
        </w:tc>
        <w:tc>
          <w:tcPr>
            <w:tcW w:w="2297" w:type="dxa"/>
            <w:hideMark/>
          </w:tcPr>
          <w:p w:rsidR="000D4EF5" w:rsidRPr="000D4EF5" w:rsidRDefault="000D4EF5" w:rsidP="000D4EF5">
            <w:pPr>
              <w:rPr>
                <w:rFonts w:ascii="Times New Roman" w:eastAsia="Times New Roman" w:hAnsi="Times New Roman" w:cs="Times New Roman"/>
                <w:sz w:val="24"/>
                <w:szCs w:val="24"/>
                <w:lang w:eastAsia="ru-RU"/>
              </w:rPr>
            </w:pPr>
            <w:r w:rsidRPr="000D4EF5">
              <w:rPr>
                <w:rFonts w:ascii="Times New Roman" w:eastAsia="Times New Roman" w:hAnsi="Times New Roman" w:cs="Times New Roman"/>
                <w:sz w:val="24"/>
                <w:szCs w:val="24"/>
                <w:lang w:eastAsia="ru-RU"/>
              </w:rPr>
              <w:t>88</w:t>
            </w:r>
          </w:p>
        </w:tc>
      </w:tr>
    </w:tbl>
    <w:p w:rsidR="00C91F1B" w:rsidRDefault="00C91F1B" w:rsidP="00D00641">
      <w:pPr>
        <w:spacing w:after="0" w:line="360" w:lineRule="auto"/>
        <w:ind w:firstLine="709"/>
        <w:jc w:val="both"/>
        <w:rPr>
          <w:rFonts w:ascii="Times New Roman" w:hAnsi="Times New Roman" w:cs="Times New Roman"/>
          <w:sz w:val="28"/>
          <w:szCs w:val="28"/>
        </w:rPr>
      </w:pP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 xml:space="preserve">Таблица </w:t>
      </w:r>
      <w:r>
        <w:rPr>
          <w:rFonts w:ascii="Times New Roman" w:hAnsi="Times New Roman" w:cs="Times New Roman"/>
          <w:sz w:val="28"/>
          <w:szCs w:val="28"/>
        </w:rPr>
        <w:t>3</w:t>
      </w:r>
      <w:r w:rsidRPr="003F3E5E">
        <w:rPr>
          <w:rFonts w:ascii="Times New Roman" w:hAnsi="Times New Roman" w:cs="Times New Roman"/>
          <w:sz w:val="28"/>
          <w:szCs w:val="28"/>
        </w:rPr>
        <w:t>. Краткая характеристика банковских услуг</w:t>
      </w:r>
    </w:p>
    <w:tbl>
      <w:tblPr>
        <w:tblStyle w:val="11"/>
        <w:tblW w:w="5000" w:type="pct"/>
        <w:tblLook w:val="04A0"/>
      </w:tblPr>
      <w:tblGrid>
        <w:gridCol w:w="4897"/>
        <w:gridCol w:w="4674"/>
      </w:tblGrid>
      <w:tr w:rsidR="00C84A80" w:rsidRPr="003F3E5E" w:rsidTr="00C84A80">
        <w:tc>
          <w:tcPr>
            <w:tcW w:w="0" w:type="auto"/>
            <w:hideMark/>
          </w:tcPr>
          <w:p w:rsidR="00C84A80" w:rsidRPr="003F3E5E" w:rsidRDefault="00697C2B" w:rsidP="00C84A80">
            <w:pPr>
              <w:rPr>
                <w:rFonts w:ascii="Times New Roman" w:hAnsi="Times New Roman" w:cs="Times New Roman"/>
                <w:sz w:val="24"/>
                <w:szCs w:val="24"/>
                <w:lang w:eastAsia="ru-RU"/>
              </w:rPr>
            </w:pPr>
            <w:hyperlink r:id="rId12" w:history="1">
              <w:r w:rsidR="00C84A80" w:rsidRPr="003F3E5E">
                <w:rPr>
                  <w:rFonts w:ascii="Times New Roman" w:hAnsi="Times New Roman" w:cs="Times New Roman"/>
                  <w:sz w:val="24"/>
                  <w:szCs w:val="24"/>
                  <w:lang w:eastAsia="ru-RU"/>
                </w:rPr>
                <w:t>Кредиты</w:t>
              </w:r>
            </w:hyperlink>
            <w:r w:rsidR="00C84A80" w:rsidRPr="003F3E5E">
              <w:rPr>
                <w:rFonts w:ascii="Times New Roman" w:hAnsi="Times New Roman" w:cs="Times New Roman"/>
                <w:sz w:val="24"/>
                <w:szCs w:val="24"/>
                <w:lang w:eastAsia="ru-RU"/>
              </w:rPr>
              <w:t xml:space="preserve"> </w:t>
            </w:r>
          </w:p>
          <w:p w:rsidR="00C84A80" w:rsidRPr="003F3E5E" w:rsidRDefault="00C84A80" w:rsidP="00C84A80">
            <w:pPr>
              <w:rPr>
                <w:rFonts w:ascii="Times New Roman" w:hAnsi="Times New Roman" w:cs="Times New Roman"/>
                <w:sz w:val="24"/>
                <w:szCs w:val="24"/>
                <w:lang w:eastAsia="ru-RU"/>
              </w:rPr>
            </w:pPr>
            <w:r w:rsidRPr="003F3E5E">
              <w:rPr>
                <w:rFonts w:ascii="Times New Roman" w:hAnsi="Times New Roman" w:cs="Times New Roman"/>
                <w:sz w:val="24"/>
                <w:szCs w:val="24"/>
                <w:lang w:eastAsia="ru-RU"/>
              </w:rPr>
              <w:t xml:space="preserve">Персональный кредит или автокредит в </w:t>
            </w:r>
            <w:r>
              <w:rPr>
                <w:rFonts w:ascii="Times New Roman" w:hAnsi="Times New Roman" w:cs="Times New Roman"/>
                <w:sz w:val="24"/>
                <w:szCs w:val="24"/>
                <w:lang w:eastAsia="ru-RU"/>
              </w:rPr>
              <w:t>Росбанке</w:t>
            </w:r>
            <w:r w:rsidRPr="003F3E5E">
              <w:rPr>
                <w:rFonts w:ascii="Times New Roman" w:hAnsi="Times New Roman" w:cs="Times New Roman"/>
                <w:sz w:val="24"/>
                <w:szCs w:val="24"/>
                <w:lang w:eastAsia="ru-RU"/>
              </w:rPr>
              <w:t xml:space="preserve"> может взять гражданин РФ, имеющий постоянную регистрацию в зоне деятельности банка. Трудовой стаж на последнем месте работы не менее 4 месяцев. Для оформления кредита Вам потребуется российский паспорт и любой другой документ, удостоверяющий личность. </w:t>
            </w:r>
          </w:p>
        </w:tc>
        <w:tc>
          <w:tcPr>
            <w:tcW w:w="0" w:type="auto"/>
            <w:hideMark/>
          </w:tcPr>
          <w:p w:rsidR="00C84A80" w:rsidRPr="003F3E5E" w:rsidRDefault="00697C2B" w:rsidP="00C84A80">
            <w:pPr>
              <w:rPr>
                <w:rFonts w:ascii="Times New Roman" w:hAnsi="Times New Roman" w:cs="Times New Roman"/>
                <w:sz w:val="24"/>
                <w:szCs w:val="24"/>
                <w:lang w:eastAsia="ru-RU"/>
              </w:rPr>
            </w:pPr>
            <w:hyperlink r:id="rId13" w:history="1">
              <w:r w:rsidR="00C84A80" w:rsidRPr="003F3E5E">
                <w:rPr>
                  <w:rFonts w:ascii="Times New Roman" w:hAnsi="Times New Roman" w:cs="Times New Roman"/>
                  <w:sz w:val="24"/>
                  <w:szCs w:val="24"/>
                  <w:lang w:eastAsia="ru-RU"/>
                </w:rPr>
                <w:t>Кредитные карты</w:t>
              </w:r>
            </w:hyperlink>
            <w:r w:rsidR="00C84A80" w:rsidRPr="003F3E5E">
              <w:rPr>
                <w:rFonts w:ascii="Times New Roman" w:hAnsi="Times New Roman" w:cs="Times New Roman"/>
                <w:sz w:val="24"/>
                <w:szCs w:val="24"/>
                <w:lang w:eastAsia="ru-RU"/>
              </w:rPr>
              <w:t xml:space="preserve"> </w:t>
            </w:r>
          </w:p>
          <w:p w:rsidR="00C84A80" w:rsidRPr="003F3E5E" w:rsidRDefault="00C84A80" w:rsidP="00C84A80">
            <w:pPr>
              <w:rPr>
                <w:rFonts w:ascii="Times New Roman" w:hAnsi="Times New Roman" w:cs="Times New Roman"/>
                <w:sz w:val="24"/>
                <w:szCs w:val="24"/>
                <w:lang w:eastAsia="ru-RU"/>
              </w:rPr>
            </w:pPr>
            <w:r w:rsidRPr="003F3E5E">
              <w:rPr>
                <w:rFonts w:ascii="Times New Roman" w:hAnsi="Times New Roman" w:cs="Times New Roman"/>
                <w:sz w:val="24"/>
                <w:szCs w:val="24"/>
                <w:lang w:eastAsia="ru-RU"/>
              </w:rPr>
              <w:t xml:space="preserve">Наша карта выручит Вас в любой ситуации. Вам больше не придется оформлять заявки на кредит и собирать документы, когда нужны деньги. Кредитная линия будет постоянно возобновляться. А с льготным периодом кредитования до 50 дней Вы не будете переплачивать проценты за кредит. </w:t>
            </w:r>
          </w:p>
        </w:tc>
      </w:tr>
      <w:tr w:rsidR="00C84A80" w:rsidRPr="003F3E5E" w:rsidTr="00C84A80">
        <w:tc>
          <w:tcPr>
            <w:tcW w:w="0" w:type="auto"/>
            <w:hideMark/>
          </w:tcPr>
          <w:p w:rsidR="00C84A80" w:rsidRPr="003F3E5E" w:rsidRDefault="00697C2B" w:rsidP="00C84A80">
            <w:pPr>
              <w:rPr>
                <w:rFonts w:ascii="Times New Roman" w:hAnsi="Times New Roman" w:cs="Times New Roman"/>
                <w:sz w:val="24"/>
                <w:szCs w:val="24"/>
                <w:lang w:eastAsia="ru-RU"/>
              </w:rPr>
            </w:pPr>
            <w:hyperlink r:id="rId14" w:history="1">
              <w:r w:rsidR="00C84A80" w:rsidRPr="003F3E5E">
                <w:rPr>
                  <w:rFonts w:ascii="Times New Roman" w:hAnsi="Times New Roman" w:cs="Times New Roman"/>
                  <w:sz w:val="24"/>
                  <w:szCs w:val="24"/>
                  <w:lang w:eastAsia="ru-RU"/>
                </w:rPr>
                <w:t>Вклады</w:t>
              </w:r>
            </w:hyperlink>
            <w:r w:rsidR="00C84A80" w:rsidRPr="003F3E5E">
              <w:rPr>
                <w:rFonts w:ascii="Times New Roman" w:hAnsi="Times New Roman" w:cs="Times New Roman"/>
                <w:sz w:val="24"/>
                <w:szCs w:val="24"/>
                <w:lang w:eastAsia="ru-RU"/>
              </w:rPr>
              <w:t xml:space="preserve"> </w:t>
            </w:r>
          </w:p>
          <w:p w:rsidR="00C84A80" w:rsidRPr="003F3E5E" w:rsidRDefault="00C84A80" w:rsidP="00C84A80">
            <w:pPr>
              <w:rPr>
                <w:rFonts w:ascii="Times New Roman" w:hAnsi="Times New Roman" w:cs="Times New Roman"/>
                <w:sz w:val="24"/>
                <w:szCs w:val="24"/>
                <w:lang w:eastAsia="ru-RU"/>
              </w:rPr>
            </w:pPr>
            <w:r w:rsidRPr="003F3E5E">
              <w:rPr>
                <w:rFonts w:ascii="Times New Roman" w:hAnsi="Times New Roman" w:cs="Times New Roman"/>
                <w:sz w:val="24"/>
                <w:szCs w:val="24"/>
                <w:lang w:eastAsia="ru-RU"/>
              </w:rPr>
              <w:t xml:space="preserve">Быстрое оформление вкладов на выгодных условиях. Открыв вклад в одном офисе, вы можете пополнить вклад в любом другом. </w:t>
            </w:r>
          </w:p>
        </w:tc>
        <w:tc>
          <w:tcPr>
            <w:tcW w:w="0" w:type="auto"/>
            <w:hideMark/>
          </w:tcPr>
          <w:p w:rsidR="00C84A80" w:rsidRPr="003F3E5E" w:rsidRDefault="00697C2B" w:rsidP="00C84A80">
            <w:pPr>
              <w:rPr>
                <w:rFonts w:ascii="Times New Roman" w:hAnsi="Times New Roman" w:cs="Times New Roman"/>
                <w:sz w:val="24"/>
                <w:szCs w:val="24"/>
                <w:lang w:eastAsia="ru-RU"/>
              </w:rPr>
            </w:pPr>
            <w:hyperlink r:id="rId15" w:history="1">
              <w:r w:rsidR="00C84A80" w:rsidRPr="003F3E5E">
                <w:rPr>
                  <w:rFonts w:ascii="Times New Roman" w:hAnsi="Times New Roman" w:cs="Times New Roman"/>
                  <w:sz w:val="24"/>
                  <w:szCs w:val="24"/>
                  <w:lang w:eastAsia="ru-RU"/>
                </w:rPr>
                <w:t>Банковские карты</w:t>
              </w:r>
            </w:hyperlink>
            <w:r w:rsidR="00C84A80" w:rsidRPr="003F3E5E">
              <w:rPr>
                <w:rFonts w:ascii="Times New Roman" w:hAnsi="Times New Roman" w:cs="Times New Roman"/>
                <w:sz w:val="24"/>
                <w:szCs w:val="24"/>
                <w:lang w:eastAsia="ru-RU"/>
              </w:rPr>
              <w:t xml:space="preserve"> </w:t>
            </w:r>
          </w:p>
          <w:p w:rsidR="00C84A80" w:rsidRPr="003F3E5E" w:rsidRDefault="00C84A80" w:rsidP="00C84A80">
            <w:pPr>
              <w:rPr>
                <w:rFonts w:ascii="Times New Roman" w:hAnsi="Times New Roman" w:cs="Times New Roman"/>
                <w:sz w:val="24"/>
                <w:szCs w:val="24"/>
                <w:lang w:eastAsia="ru-RU"/>
              </w:rPr>
            </w:pPr>
            <w:r w:rsidRPr="003F3E5E">
              <w:rPr>
                <w:rFonts w:ascii="Times New Roman" w:hAnsi="Times New Roman" w:cs="Times New Roman"/>
                <w:sz w:val="24"/>
                <w:szCs w:val="24"/>
                <w:lang w:eastAsia="ru-RU"/>
              </w:rPr>
              <w:t xml:space="preserve">У всех трех типов карт MasterCard, предлагаемых </w:t>
            </w:r>
            <w:r>
              <w:rPr>
                <w:rFonts w:ascii="Times New Roman" w:hAnsi="Times New Roman" w:cs="Times New Roman"/>
                <w:sz w:val="24"/>
                <w:szCs w:val="24"/>
                <w:lang w:eastAsia="ru-RU"/>
              </w:rPr>
              <w:t>Росбанком</w:t>
            </w:r>
            <w:r w:rsidRPr="003F3E5E">
              <w:rPr>
                <w:rFonts w:ascii="Times New Roman" w:hAnsi="Times New Roman" w:cs="Times New Roman"/>
                <w:sz w:val="24"/>
                <w:szCs w:val="24"/>
                <w:lang w:eastAsia="ru-RU"/>
              </w:rPr>
              <w:t xml:space="preserve"> своим клиентам, есть общие возможности. С их помощью можно снять деньги в банкомате или пункте выдачи наличных, оплатить через банкомат мобильный телефон, расплатиться в магазинах. </w:t>
            </w:r>
          </w:p>
        </w:tc>
      </w:tr>
      <w:tr w:rsidR="00C84A80" w:rsidRPr="003F3E5E" w:rsidTr="00C84A80">
        <w:tc>
          <w:tcPr>
            <w:tcW w:w="0" w:type="auto"/>
            <w:hideMark/>
          </w:tcPr>
          <w:p w:rsidR="00C84A80" w:rsidRPr="003F3E5E" w:rsidRDefault="00697C2B" w:rsidP="00C84A80">
            <w:pPr>
              <w:rPr>
                <w:rFonts w:ascii="Times New Roman" w:hAnsi="Times New Roman" w:cs="Times New Roman"/>
                <w:sz w:val="24"/>
                <w:szCs w:val="24"/>
                <w:lang w:eastAsia="ru-RU"/>
              </w:rPr>
            </w:pPr>
            <w:hyperlink r:id="rId16" w:history="1">
              <w:r w:rsidR="00C84A80" w:rsidRPr="003F3E5E">
                <w:rPr>
                  <w:rFonts w:ascii="Times New Roman" w:hAnsi="Times New Roman" w:cs="Times New Roman"/>
                  <w:sz w:val="24"/>
                  <w:szCs w:val="24"/>
                  <w:lang w:eastAsia="ru-RU"/>
                </w:rPr>
                <w:t>Денежные переводы</w:t>
              </w:r>
            </w:hyperlink>
            <w:r w:rsidR="00C84A80" w:rsidRPr="003F3E5E">
              <w:rPr>
                <w:rFonts w:ascii="Times New Roman" w:hAnsi="Times New Roman" w:cs="Times New Roman"/>
                <w:sz w:val="24"/>
                <w:szCs w:val="24"/>
                <w:lang w:eastAsia="ru-RU"/>
              </w:rPr>
              <w:t xml:space="preserve"> </w:t>
            </w:r>
          </w:p>
          <w:p w:rsidR="00C84A80" w:rsidRPr="003F3E5E" w:rsidRDefault="00C84A80" w:rsidP="00C84A80">
            <w:pPr>
              <w:rPr>
                <w:rFonts w:ascii="Times New Roman" w:hAnsi="Times New Roman" w:cs="Times New Roman"/>
                <w:sz w:val="24"/>
                <w:szCs w:val="24"/>
                <w:lang w:eastAsia="ru-RU"/>
              </w:rPr>
            </w:pPr>
            <w:r>
              <w:rPr>
                <w:rFonts w:ascii="Times New Roman" w:hAnsi="Times New Roman" w:cs="Times New Roman"/>
                <w:sz w:val="24"/>
                <w:szCs w:val="24"/>
                <w:lang w:eastAsia="ru-RU"/>
              </w:rPr>
              <w:t>Росбанк</w:t>
            </w:r>
            <w:r w:rsidRPr="003F3E5E">
              <w:rPr>
                <w:rFonts w:ascii="Times New Roman" w:hAnsi="Times New Roman" w:cs="Times New Roman"/>
                <w:sz w:val="24"/>
                <w:szCs w:val="24"/>
                <w:lang w:eastAsia="ru-RU"/>
              </w:rPr>
              <w:t xml:space="preserve"> предоставляет своим клиентам широкие возможности по переводу денежных средств на территории РФ и за ее пределы, в российских рублях и иностранной валюте, в наличной иностранной валюте или по выгодному курсу конверсии, с открытием счета и без открытия счета, банковским переводом или переводом с использованием платежных систем Western Union, Contact и MIGOM. </w:t>
            </w:r>
          </w:p>
        </w:tc>
        <w:tc>
          <w:tcPr>
            <w:tcW w:w="0" w:type="auto"/>
            <w:hideMark/>
          </w:tcPr>
          <w:p w:rsidR="00C84A80" w:rsidRPr="003F3E5E" w:rsidRDefault="00C84A80" w:rsidP="00C84A80">
            <w:pPr>
              <w:rPr>
                <w:rFonts w:ascii="Times New Roman" w:hAnsi="Times New Roman" w:cs="Times New Roman"/>
                <w:sz w:val="24"/>
                <w:szCs w:val="24"/>
                <w:lang w:eastAsia="ru-RU"/>
              </w:rPr>
            </w:pPr>
          </w:p>
        </w:tc>
      </w:tr>
    </w:tbl>
    <w:p w:rsidR="00C84A80" w:rsidRPr="003F3E5E" w:rsidRDefault="00C84A80" w:rsidP="00C84A80">
      <w:pPr>
        <w:spacing w:after="0" w:line="360" w:lineRule="auto"/>
        <w:jc w:val="both"/>
        <w:rPr>
          <w:rFonts w:ascii="Times New Roman" w:hAnsi="Times New Roman" w:cs="Times New Roman"/>
          <w:sz w:val="28"/>
          <w:szCs w:val="28"/>
        </w:rPr>
      </w:pPr>
    </w:p>
    <w:p w:rsidR="00C91F1B" w:rsidRDefault="00C91F1B" w:rsidP="00D00641">
      <w:pPr>
        <w:spacing w:after="0" w:line="360" w:lineRule="auto"/>
        <w:ind w:firstLine="709"/>
        <w:jc w:val="both"/>
        <w:rPr>
          <w:rFonts w:ascii="Times New Roman" w:hAnsi="Times New Roman" w:cs="Times New Roman"/>
          <w:sz w:val="28"/>
          <w:szCs w:val="28"/>
        </w:rPr>
      </w:pPr>
    </w:p>
    <w:p w:rsidR="00C84A80" w:rsidRDefault="00C84A80" w:rsidP="00D00641">
      <w:pPr>
        <w:spacing w:after="0" w:line="360" w:lineRule="auto"/>
        <w:ind w:firstLine="709"/>
        <w:jc w:val="both"/>
        <w:rPr>
          <w:rFonts w:ascii="Times New Roman" w:hAnsi="Times New Roman" w:cs="Times New Roman"/>
          <w:sz w:val="28"/>
          <w:szCs w:val="28"/>
        </w:rPr>
      </w:pPr>
    </w:p>
    <w:p w:rsidR="00C84A80" w:rsidRDefault="00C84A80" w:rsidP="00D00641">
      <w:pPr>
        <w:spacing w:after="0" w:line="360" w:lineRule="auto"/>
        <w:ind w:firstLine="709"/>
        <w:jc w:val="both"/>
        <w:rPr>
          <w:rFonts w:ascii="Times New Roman" w:hAnsi="Times New Roman" w:cs="Times New Roman"/>
          <w:sz w:val="28"/>
          <w:szCs w:val="28"/>
        </w:rPr>
      </w:pPr>
    </w:p>
    <w:p w:rsidR="00C84A80" w:rsidRDefault="00C84A80" w:rsidP="00D00641">
      <w:pPr>
        <w:spacing w:after="0" w:line="360" w:lineRule="auto"/>
        <w:ind w:firstLine="709"/>
        <w:jc w:val="both"/>
        <w:rPr>
          <w:rFonts w:ascii="Times New Roman" w:hAnsi="Times New Roman" w:cs="Times New Roman"/>
          <w:sz w:val="28"/>
          <w:szCs w:val="28"/>
        </w:rPr>
      </w:pPr>
    </w:p>
    <w:p w:rsidR="00C84A80" w:rsidRPr="00C84A80" w:rsidRDefault="00C84A80" w:rsidP="00C84A80">
      <w:pPr>
        <w:pStyle w:val="3"/>
        <w:spacing w:before="0" w:line="360" w:lineRule="auto"/>
        <w:jc w:val="center"/>
        <w:rPr>
          <w:rFonts w:ascii="Times New Roman" w:eastAsia="Times New Roman" w:hAnsi="Times New Roman" w:cs="Times New Roman"/>
          <w:color w:val="auto"/>
          <w:sz w:val="28"/>
          <w:szCs w:val="28"/>
          <w:lang w:eastAsia="ru-RU"/>
        </w:rPr>
      </w:pPr>
      <w:bookmarkStart w:id="3" w:name="_Toc360362453"/>
      <w:r w:rsidRPr="00C84A80">
        <w:rPr>
          <w:rFonts w:ascii="Times New Roman" w:eastAsia="Times New Roman" w:hAnsi="Times New Roman" w:cs="Times New Roman"/>
          <w:color w:val="auto"/>
          <w:sz w:val="28"/>
          <w:szCs w:val="28"/>
          <w:lang w:eastAsia="ru-RU"/>
        </w:rPr>
        <w:lastRenderedPageBreak/>
        <w:t>2. Описание места практики</w:t>
      </w:r>
      <w:bookmarkEnd w:id="3"/>
    </w:p>
    <w:p w:rsidR="00C84A80" w:rsidRDefault="00C84A80" w:rsidP="00C84A80">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Моя практика в основном проходила в группе по работе  с финансами и кредитами, т.е. работа непосредственно с физическими лицами.</w:t>
      </w:r>
    </w:p>
    <w:p w:rsidR="00C84A80" w:rsidRPr="003F3E5E" w:rsidRDefault="00C84A80" w:rsidP="00C84A80">
      <w:pPr>
        <w:widowControl w:val="0"/>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xml:space="preserve"> Организационная структура </w:t>
      </w:r>
      <w:r>
        <w:rPr>
          <w:rFonts w:ascii="Times New Roman" w:hAnsi="Times New Roman" w:cs="Times New Roman"/>
          <w:sz w:val="28"/>
          <w:szCs w:val="28"/>
        </w:rPr>
        <w:t xml:space="preserve">отдела </w:t>
      </w:r>
      <w:r w:rsidRPr="003F3E5E">
        <w:rPr>
          <w:rFonts w:ascii="Times New Roman" w:hAnsi="Times New Roman" w:cs="Times New Roman"/>
          <w:sz w:val="28"/>
          <w:szCs w:val="28"/>
        </w:rPr>
        <w:t xml:space="preserve"> </w:t>
      </w:r>
      <w:r w:rsidRPr="003F3E5E">
        <w:rPr>
          <w:rFonts w:ascii="Times New Roman" w:eastAsia="Times New Roman" w:hAnsi="Times New Roman" w:cs="Times New Roman"/>
          <w:sz w:val="28"/>
          <w:szCs w:val="28"/>
          <w:lang w:eastAsia="ru-RU"/>
        </w:rPr>
        <w:t>представлена на рис. 1. Так как операционный офис небольшой, то применяется линейная структура. Т.е. управляющему подчиняются все подразделения  отделения банка. Таким образом, в отделении работают 8 человек.</w:t>
      </w:r>
    </w:p>
    <w:p w:rsidR="00C84A80" w:rsidRPr="003F3E5E" w:rsidRDefault="00697C2B" w:rsidP="00C84A80">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line id="Прямая соединительная линия 53" o:spid="_x0000_s1026" style="position:absolute;left:0;text-align:left;z-index:251660288;visibility:visible;mso-width-relative:margin" from="281.7pt,7.8pt" to="281.7pt,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" strokecolor="windowText"/>
        </w:pict>
      </w:r>
      <w:r>
        <w:rPr>
          <w:rFonts w:ascii="Times New Roman" w:eastAsia="Times New Roman" w:hAnsi="Times New Roman" w:cs="Times New Roman"/>
          <w:noProof/>
          <w:sz w:val="28"/>
          <w:szCs w:val="28"/>
          <w:lang w:eastAsia="ru-RU"/>
        </w:rPr>
        <w:pict>
          <v:line id="Прямая соединительная линия 52" o:spid="_x0000_s1039" style="position:absolute;left:0;text-align:left;z-index:251659264;visibility:visible" from="142.95pt,8.05pt" to="142.95pt,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" strokecolor="windowText"/>
        </w:pict>
      </w:r>
      <w:r>
        <w:rPr>
          <w:rFonts w:ascii="Times New Roman" w:eastAsia="Times New Roman" w:hAnsi="Times New Roman" w:cs="Times New Roman"/>
          <w:noProof/>
          <w:sz w:val="28"/>
          <w:szCs w:val="28"/>
          <w:lang w:eastAsia="ru-RU"/>
        </w:rPr>
      </w:r>
      <w:r>
        <w:rPr>
          <w:rFonts w:ascii="Times New Roman" w:eastAsia="Times New Roman" w:hAnsi="Times New Roman" w:cs="Times New Roman"/>
          <w:noProof/>
          <w:sz w:val="28"/>
          <w:szCs w:val="28"/>
          <w:lang w:eastAsia="ru-RU"/>
        </w:rPr>
        <w:pict>
          <v:group id="Группа 2" o:spid="_x0000_s1038" style="width:282.1pt;height:165pt;mso-position-horizontal-relative:char;mso-position-vertical-relative:line" coordorigin="1308,5408" coordsize="7759,3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">
            <v:shapetype id="_x0000_t109" coordsize="21600,21600" o:spt="109" path="m,l,21600r21600,l21600,xe">
              <v:stroke joinstyle="miter"/>
              <v:path gradientshapeok="t" o:connecttype="rect"/>
            </v:shapetype>
            <v:shape id="AutoShape 15" o:spid="_x0000_s1027" type="#_x0000_t109" style="position:absolute;left:6898;top:7425;width:2169;height:12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Skk8MA&#10;AADaAAAADwAAAGRycy9kb3ducmV2LnhtbESPQYvCMBSE74L/ITzBi2iqriLVKLJQ0cMerF68PZtn&#10;W2xeSpOt3X+/WVjwOMzMN8xm15lKtNS40rKC6SQCQZxZXXKu4HpJxisQziNrrCyTgh9ysNv2exuM&#10;tX3xmdrU5yJA2MWooPC+jqV0WUEG3cTWxMF72MagD7LJpW7wFeCmkrMoWkqDJYeFAmv6LCh7pt9G&#10;wWw1Sg/8lRw/7ied4GJ6a0fzk1LDQbdfg/DU+Xf4v33UCubwdyXc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Skk8MAAADaAAAADwAAAAAAAAAAAAAAAACYAgAAZHJzL2Rv&#10;d25yZXYueG1sUEsFBgAAAAAEAAQA9QAAAIgDAAAAAA==&#10;">
              <v:textbox>
                <w:txbxContent>
                  <w:p w:rsidR="00F6489B" w:rsidRDefault="00F6489B" w:rsidP="00C84A80">
                    <w:pPr>
                      <w:spacing w:after="0" w:line="240" w:lineRule="auto"/>
                      <w:jc w:val="center"/>
                      <w:rPr>
                        <w:rFonts w:ascii="Times New Roman" w:hAnsi="Times New Roman" w:cs="Times New Roman"/>
                        <w:sz w:val="20"/>
                        <w:szCs w:val="20"/>
                      </w:rPr>
                    </w:pPr>
                    <w:r w:rsidRPr="0082043A">
                      <w:rPr>
                        <w:rFonts w:ascii="Times New Roman" w:hAnsi="Times New Roman" w:cs="Times New Roman"/>
                        <w:sz w:val="20"/>
                        <w:szCs w:val="20"/>
                      </w:rPr>
                      <w:t>Отдел банковских карт</w:t>
                    </w:r>
                  </w:p>
                  <w:p w:rsidR="00F6489B" w:rsidRPr="0082043A" w:rsidRDefault="00F6489B" w:rsidP="00C84A8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чел</w:t>
                    </w:r>
                  </w:p>
                </w:txbxContent>
              </v:textbox>
            </v:shape>
            <v:line id="Line 17" o:spid="_x0000_s1028" style="position:absolute;visibility:visible" from="2429,9262" to="2429,9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rect id="Rectangle 20" o:spid="_x0000_s1029" style="position:absolute;left:4670;top:6303;width:2764;height:8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4Wl8UA&#10;AADaAAAADwAAAGRycy9kb3ducmV2LnhtbESPUUvDQBCE34X+h2MLvtlLilWJvZZSKBSKQmtQH9fc&#10;mgRzeyG3TaO/vlco+DjMzDfMfDm4RvXUhdqzgXSSgCIuvK25NJC/be6eQAVBtth4JgO/FGC5GN3M&#10;MbP+xHvqD1KqCOGQoYFKpM20DkVFDsPEt8TR+/adQ4myK7Xt8BThrtHTJHnQDmuOCxW2tK6o+Dkc&#10;nYHHXe9mdZrL38t+/fV+n3p5/fg05nY8rJ5BCQ3yH762t9bADC5X4g3Qi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aXxQAAANoAAAAPAAAAAAAAAAAAAAAAAJgCAABkcnMv&#10;ZG93bnJldi54bWxQSwUGAAAAAAQABAD1AAAAigMAAAAA&#10;">
              <v:textbox inset="1pt,1pt,1pt,1pt">
                <w:txbxContent>
                  <w:p w:rsidR="00F6489B" w:rsidRPr="00230639" w:rsidRDefault="00F6489B" w:rsidP="00C84A80">
                    <w:pPr>
                      <w:spacing w:after="0" w:line="240" w:lineRule="auto"/>
                      <w:jc w:val="center"/>
                      <w:rPr>
                        <w:rFonts w:ascii="Times New Roman" w:hAnsi="Times New Roman" w:cs="Times New Roman"/>
                        <w:sz w:val="20"/>
                        <w:szCs w:val="20"/>
                      </w:rPr>
                    </w:pPr>
                    <w:r w:rsidRPr="00230639">
                      <w:rPr>
                        <w:rFonts w:ascii="Times New Roman" w:hAnsi="Times New Roman" w:cs="Times New Roman"/>
                        <w:sz w:val="20"/>
                        <w:szCs w:val="20"/>
                      </w:rPr>
                      <w:t>группа по работе с физическими  лицами 3 чел</w:t>
                    </w:r>
                  </w:p>
                </w:txbxContent>
              </v:textbox>
            </v:rect>
            <v:group id="Group 32" o:spid="_x0000_s1030" style="position:absolute;left:1947;top:5408;width:6126;height:898" coordorigin=",3029" coordsize="12984,30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34" o:spid="_x0000_s1031" style="position:absolute;left:6229;top:3029;width:4264;height:18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Ate8QA&#10;AADaAAAADwAAAGRycy9kb3ducmV2LnhtbESPX2vCQBDE3wt+h2MLvtVLirYl9RQRCkKp4B9aH9fc&#10;NgnN7YXcGqOfvlcQ+jjM/GaY6bx3teqoDZVnA+koAUWce1txYWC/e3t4ARUE2WLtmQxcKMB8Nrib&#10;Ymb9mTfUbaVQsYRDhgZKkSbTOuQlOQwj3xBH79u3DiXKttC2xXMsd7V+TJIn7bDiuFBiQ8uS8p/t&#10;yRl4fu/cpEr3cv3YLI+f49TL+utgzPC+X7yCEurlP3yjVzZy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gLXvEAAAA2gAAAA8AAAAAAAAAAAAAAAAAmAIAAGRycy9k&#10;b3ducmV2LnhtbFBLBQYAAAAABAAEAPUAAACJAwAAAAA=&#10;">
                <v:textbox inset="1pt,1pt,1pt,1pt">
                  <w:txbxContent>
                    <w:p w:rsidR="00F6489B" w:rsidRPr="0082043A" w:rsidRDefault="00F6489B" w:rsidP="00C84A80">
                      <w:pPr>
                        <w:jc w:val="center"/>
                        <w:rPr>
                          <w:rFonts w:ascii="Times New Roman" w:hAnsi="Times New Roman" w:cs="Times New Roman"/>
                          <w:sz w:val="20"/>
                          <w:szCs w:val="20"/>
                        </w:rPr>
                      </w:pPr>
                      <w:r>
                        <w:rPr>
                          <w:rFonts w:ascii="Times New Roman" w:hAnsi="Times New Roman" w:cs="Times New Roman"/>
                          <w:sz w:val="20"/>
                          <w:szCs w:val="20"/>
                        </w:rPr>
                        <w:t>Ст. менеджер</w:t>
                      </w:r>
                    </w:p>
                  </w:txbxContent>
                </v:textbox>
              </v:rect>
              <v:line id="Line 43" o:spid="_x0000_s1032" style="position:absolute;visibility:visible" from="8195,4849" to="8198,6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oA8IAAADaAAAADwAAAGRycy9kb3ducmV2LnhtbESPQYvCMBSE78L+h/AWvGlaD2K7xiKC&#10;4GEvWwX19mjett1tXtomav33RhA8DjPzDbPMBtOIK/WutqwgnkYgiAuray4VHPbbyQKE88gaG8uk&#10;4E4OstXHaImptjf+oWvuSxEg7FJUUHnfplK6oiKDbmpb4uD92t6gD7Ivpe7xFuCmkbMomkuDNYeF&#10;ClvaVFT85xcTKId5sk2OXX35i7v8dG670/4blRp/DusvEJ4G/w6/2jutIIHnlXAD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oA8IAAADaAAAADwAAAAAAAAAAAAAA&#10;AAChAgAAZHJzL2Rvd25yZXYueG1sUEsFBgAAAAAEAAQA+QAAAJADAAAAAA==&#10;">
                <v:stroke startarrowwidth="narrow" startarrowlength="short" endarrowwidth="narrow" endarrowlength="short"/>
              </v:line>
              <v:line id="Line 44" o:spid="_x0000_s1033" style="position:absolute;visibility:visible" from="10491,3637" to="12984,3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ftC8MAAADbAAAADwAAAGRycy9kb3ducmV2LnhtbESPQYvCQAyF7wv+hyGCt3XqHmTtOooI&#10;goe9WAXdW+jEttrJtJ1R6783hwVvL+Tly3vzZe9qdacuVJ4NTMYJKOLc24oLA4f95vMbVIjIFmvP&#10;ZOBJAZaLwcccU+sfvKN7FgslEA4pGihjbFKtQ16SwzD2DbHszr5zGGXsCm07fAjc1forSabaYcXy&#10;ocSG1iXl1+zmhHKYzjazY1vdLpM2O/017Wn/i8aMhv3qB1SkPr7N/9dbK/ElvXQRAXrx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1X7QvDAAAA2wAAAA8AAAAAAAAAAAAA&#10;AAAAoQIAAGRycy9kb3ducmV2LnhtbFBLBQYAAAAABAAEAPkAAACRAwAAAAA=&#10;">
                <v:stroke startarrowwidth="narrow" startarrowlength="short" endarrowwidth="narrow" endarrowlength="short"/>
              </v:line>
              <v:line id="Line 47" o:spid="_x0000_s1034" style="position:absolute;flip:x;visibility:visible" from="0,3637" to="623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Ga0sIAAADbAAAADwAAAGRycy9kb3ducmV2LnhtbERP22oCMRB9L/QfwhR8q9muUOpqFBEK&#10;FSnWC/g6bMbN4mayTaK7/r0pFHybw7nOdN7bRlzJh9qxgrdhBoK4dLrmSsFh//n6ASJEZI2NY1Jw&#10;owDz2fPTFAvtOt7SdRcrkUI4FKjAxNgWUobSkMUwdC1x4k7OW4wJ+kpqj10Kt43Ms+xdWqw5NRhs&#10;aWmoPO8uVkG+yUbVuPz2P6ewPvwuO7M/rnqlBi/9YgIiUh8f4n/3l07zc/j7JR0gZ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VGa0sIAAADbAAAADwAAAAAAAAAAAAAA&#10;AAChAgAAZHJzL2Rvd25yZXYueG1sUEsFBgAAAAAEAAQA+QAAAJADAAAAAA==&#10;">
                <v:stroke startarrowwidth="narrow" startarrowlength="short" endarrowwidth="narrow" endarrowlength="short"/>
              </v:line>
              <v:line id="Line 48" o:spid="_x0000_s1035" style="position:absolute;visibility:visible" from="0,3637" to="2,6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VzfMUAAADbAAAADwAAAGRycy9kb3ducmV2LnhtbESPQWuDQBCF74X8h2UCuTVrWgjVZpUQ&#10;CPTQS0yg9ja4UzVxZ9Vdjf333UKhtxnee9+82WWzacVEg2ssK9isIxDEpdUNVwou5+PjCwjnkTW2&#10;lknBNznI0sXDDhNt73yiKfeVCBB2CSqove8SKV1Zk0G3th1x0L7sYNCHdaikHvAe4KaVT1G0lQYb&#10;Dhdq7OhQU3nLRxMol218jD/6Zrxu+rz47Pri/I5KrZbz/hWEp9n/m//SbzrUf4bfX8I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VzfMUAAADbAAAADwAAAAAAAAAA&#10;AAAAAAChAgAAZHJzL2Rvd25yZXYueG1sUEsFBgAAAAAEAAQA+QAAAJMDAAAAAA==&#10;">
                <v:stroke startarrowwidth="narrow" startarrowlength="short" endarrowwidth="narrow" endarrowlength="short"/>
              </v:line>
            </v:group>
            <v:rect id="Rectangle 49" o:spid="_x0000_s1036" style="position:absolute;left:1308;top:6303;width:2012;height:8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xtsMA&#10;AADbAAAADwAAAGRycy9kb3ducmV2LnhtbERP22rCQBB9L/gPywi+1U3E1hJdRYRCobTghbaPY3ZM&#10;gtnZkB1j2q/vFoS+zeFcZ7HqXa06akPl2UA6TkAR595WXBg47J/vn0AFQbZYeyYD3xRgtRzcLTCz&#10;/spb6nZSqBjCIUMDpUiTaR3ykhyGsW+II3fyrUOJsC20bfEaw12tJ0nyqB1WHBtKbGhTUn7eXZyB&#10;2WvnHqr0ID9v283xY5p6ef/8MmY07NdzUEK9/Itv7hcb50/h75d4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xtsMAAADbAAAADwAAAAAAAAAAAAAAAACYAgAAZHJzL2Rv&#10;d25yZXYueG1sUEsFBgAAAAAEAAQA9QAAAIgDAAAAAA==&#10;">
              <v:textbox inset="1pt,1pt,1pt,1pt">
                <w:txbxContent>
                  <w:p w:rsidR="00F6489B" w:rsidRPr="0082043A" w:rsidRDefault="00F6489B" w:rsidP="00C84A80">
                    <w:pPr>
                      <w:spacing w:after="0" w:line="240" w:lineRule="auto"/>
                      <w:jc w:val="center"/>
                      <w:rPr>
                        <w:rFonts w:ascii="Times New Roman" w:hAnsi="Times New Roman" w:cs="Times New Roman"/>
                        <w:sz w:val="20"/>
                        <w:szCs w:val="20"/>
                      </w:rPr>
                    </w:pPr>
                    <w:r w:rsidRPr="0082043A">
                      <w:rPr>
                        <w:rFonts w:ascii="Times New Roman" w:hAnsi="Times New Roman" w:cs="Times New Roman"/>
                        <w:sz w:val="20"/>
                        <w:szCs w:val="20"/>
                      </w:rPr>
                      <w:t>Отдел</w:t>
                    </w:r>
                  </w:p>
                  <w:p w:rsidR="00F6489B" w:rsidRDefault="00F6489B" w:rsidP="00C84A80">
                    <w:pPr>
                      <w:spacing w:after="0" w:line="240" w:lineRule="auto"/>
                      <w:jc w:val="center"/>
                      <w:rPr>
                        <w:rFonts w:ascii="Times New Roman" w:hAnsi="Times New Roman" w:cs="Times New Roman"/>
                        <w:sz w:val="20"/>
                        <w:szCs w:val="20"/>
                      </w:rPr>
                    </w:pPr>
                    <w:r w:rsidRPr="0082043A">
                      <w:rPr>
                        <w:rFonts w:ascii="Times New Roman" w:hAnsi="Times New Roman" w:cs="Times New Roman"/>
                        <w:sz w:val="20"/>
                        <w:szCs w:val="20"/>
                      </w:rPr>
                      <w:t>кредитования</w:t>
                    </w:r>
                  </w:p>
                  <w:p w:rsidR="00F6489B" w:rsidRPr="0082043A" w:rsidRDefault="00F6489B" w:rsidP="00C84A8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1чел</w:t>
                    </w:r>
                  </w:p>
                </w:txbxContent>
              </v:textbox>
            </v:rect>
            <v:rect id="Rectangle 50" o:spid="_x0000_s1037" style="position:absolute;left:3205;top:7365;width:2012;height:8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TULcMA&#10;AADbAAAADwAAAGRycy9kb3ducmV2LnhtbERPTWvCQBC9F/wPywi91U2ktiV1FREEQVrQhrbHaXaa&#10;hGZnQ3aMaX+9Kwi9zeN9znw5uEb11IXas4F0koAiLrytuTSQv23unkAFQbbYeCYDvxRguRjdzDGz&#10;/sR76g9SqhjCIUMDlUibaR2KihyGiW+JI/ftO4cSYVdq2+EphrtGT5PkQTusOTZU2NK6ouLncHQG&#10;Hne9m9VpLn8v+/XX+33q5fXj05jb8bB6BiU0yL/46t7aOH8Gl1/iAXp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TULcMAAADbAAAADwAAAAAAAAAAAAAAAACYAgAAZHJzL2Rv&#10;d25yZXYueG1sUEsFBgAAAAAEAAQA9QAAAIgDAAAAAA==&#10;">
              <v:textbox inset="1pt,1pt,1pt,1pt">
                <w:txbxContent>
                  <w:p w:rsidR="00F6489B" w:rsidRPr="0082043A" w:rsidRDefault="00F6489B" w:rsidP="00C84A80">
                    <w:pPr>
                      <w:spacing w:after="0" w:line="240" w:lineRule="auto"/>
                      <w:jc w:val="center"/>
                      <w:rPr>
                        <w:rFonts w:ascii="Times New Roman" w:hAnsi="Times New Roman" w:cs="Times New Roman"/>
                        <w:sz w:val="20"/>
                        <w:szCs w:val="20"/>
                      </w:rPr>
                    </w:pPr>
                    <w:r w:rsidRPr="0082043A">
                      <w:rPr>
                        <w:rFonts w:ascii="Times New Roman" w:hAnsi="Times New Roman" w:cs="Times New Roman"/>
                        <w:sz w:val="20"/>
                        <w:szCs w:val="20"/>
                      </w:rPr>
                      <w:t>Отдел</w:t>
                    </w:r>
                  </w:p>
                  <w:p w:rsidR="00F6489B" w:rsidRDefault="00F6489B" w:rsidP="00C84A80">
                    <w:pPr>
                      <w:spacing w:after="0" w:line="240" w:lineRule="auto"/>
                      <w:jc w:val="center"/>
                      <w:rPr>
                        <w:rFonts w:ascii="Times New Roman" w:hAnsi="Times New Roman" w:cs="Times New Roman"/>
                        <w:sz w:val="20"/>
                        <w:szCs w:val="20"/>
                      </w:rPr>
                    </w:pPr>
                    <w:r w:rsidRPr="0082043A">
                      <w:rPr>
                        <w:rFonts w:ascii="Times New Roman" w:hAnsi="Times New Roman" w:cs="Times New Roman"/>
                        <w:sz w:val="20"/>
                        <w:szCs w:val="20"/>
                      </w:rPr>
                      <w:t>ценных бумаг</w:t>
                    </w:r>
                  </w:p>
                  <w:p w:rsidR="00F6489B" w:rsidRPr="0082043A" w:rsidRDefault="00F6489B" w:rsidP="00C84A8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 чел</w:t>
                    </w:r>
                  </w:p>
                </w:txbxContent>
              </v:textbox>
            </v:rect>
            <w10:wrap type="none"/>
            <w10:anchorlock/>
          </v:group>
        </w:pict>
      </w:r>
    </w:p>
    <w:p w:rsidR="00C84A80" w:rsidRDefault="00C84A80" w:rsidP="00C84A80">
      <w:pPr>
        <w:widowControl w:val="0"/>
        <w:spacing w:after="0" w:line="360" w:lineRule="auto"/>
        <w:jc w:val="both"/>
        <w:rPr>
          <w:rFonts w:ascii="Times New Roman" w:hAnsi="Times New Roman" w:cs="Times New Roman"/>
          <w:sz w:val="28"/>
          <w:szCs w:val="28"/>
        </w:rPr>
      </w:pPr>
      <w:r w:rsidRPr="003F3E5E">
        <w:rPr>
          <w:rFonts w:ascii="Times New Roman" w:eastAsia="Times New Roman" w:hAnsi="Times New Roman" w:cs="Times New Roman"/>
          <w:sz w:val="28"/>
          <w:szCs w:val="28"/>
          <w:lang w:eastAsia="ru-RU"/>
        </w:rPr>
        <w:t xml:space="preserve">Рисунок 1 – Организационная структура </w:t>
      </w:r>
      <w:r>
        <w:rPr>
          <w:rFonts w:ascii="Times New Roman" w:hAnsi="Times New Roman" w:cs="Times New Roman"/>
          <w:sz w:val="28"/>
          <w:szCs w:val="28"/>
        </w:rPr>
        <w:t>отдела</w:t>
      </w:r>
    </w:p>
    <w:p w:rsidR="00C84A80" w:rsidRPr="003F3E5E" w:rsidRDefault="00C84A80" w:rsidP="00C84A80">
      <w:pPr>
        <w:widowControl w:val="0"/>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xml:space="preserve">Структура управления </w:t>
      </w:r>
      <w:r>
        <w:rPr>
          <w:rFonts w:ascii="Times New Roman" w:hAnsi="Times New Roman" w:cs="Times New Roman"/>
          <w:sz w:val="28"/>
          <w:szCs w:val="28"/>
        </w:rPr>
        <w:t xml:space="preserve">дополнительного офиса </w:t>
      </w:r>
      <w:r w:rsidRPr="003F3E5E">
        <w:rPr>
          <w:rFonts w:ascii="Times New Roman" w:eastAsia="Times New Roman" w:hAnsi="Times New Roman" w:cs="Times New Roman"/>
          <w:sz w:val="28"/>
          <w:szCs w:val="28"/>
          <w:lang w:eastAsia="ru-RU"/>
        </w:rPr>
        <w:t>банка строится по принципу соответствия экономического, человеческого (взаимоотношение между людьми) факторов. Данной структуре управления свойственно: стабильность (способность сохранять равновесие при действиях внутренних и внешних факторов), динамичность и взаимосвязанность (воздействие на одно звено вызывает соответствующее изменение в другом).</w:t>
      </w:r>
    </w:p>
    <w:p w:rsidR="00C84A80" w:rsidRPr="003F3E5E" w:rsidRDefault="00C84A80" w:rsidP="00C84A80">
      <w:pPr>
        <w:spacing w:after="0" w:line="360" w:lineRule="auto"/>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Данную систему управления выбрали в результате следующих факторов:</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малый размер организации;</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обеспечение      надежных      коммуникаций      и      исключение дублирования отдельных функций.</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Процессы управления офисом имеют своей целью (назначением) выработку и принятие управленческого решения. Данные управленческие решения могут приниматься как относительно всего офиса банка в целом, отдельной функциональной области или отдельных процессов.</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lastRenderedPageBreak/>
        <w:t xml:space="preserve">Такая система управления  обеспечивает высокий уровень контроля в организации. </w:t>
      </w:r>
      <w:r>
        <w:rPr>
          <w:rFonts w:ascii="Times New Roman" w:hAnsi="Times New Roman" w:cs="Times New Roman"/>
          <w:sz w:val="28"/>
          <w:szCs w:val="28"/>
        </w:rPr>
        <w:t>Отдел</w:t>
      </w:r>
      <w:r w:rsidRPr="003F3E5E">
        <w:rPr>
          <w:rFonts w:ascii="Times New Roman" w:eastAsia="Times New Roman" w:hAnsi="Times New Roman" w:cs="Times New Roman"/>
          <w:sz w:val="28"/>
          <w:szCs w:val="28"/>
          <w:lang w:eastAsia="ru-RU"/>
        </w:rPr>
        <w:t xml:space="preserve"> функционирует как единое целое, поэтому каждая подсистема, входящая в организационную структуру, характеризуется определенной замкнутостью в пределах возложенной на нее функций, но в итоге, результаты деятельности отдельных подсистем соответствуют общей цели банка. </w:t>
      </w:r>
      <w:r w:rsidR="000033ED">
        <w:rPr>
          <w:rStyle w:val="af0"/>
          <w:rFonts w:ascii="Times New Roman" w:eastAsia="Times New Roman" w:hAnsi="Times New Roman" w:cs="Times New Roman"/>
          <w:sz w:val="28"/>
          <w:szCs w:val="28"/>
          <w:lang w:eastAsia="ru-RU"/>
        </w:rPr>
        <w:footnoteReference w:id="1"/>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xml:space="preserve">Персонал </w:t>
      </w:r>
      <w:r>
        <w:rPr>
          <w:rFonts w:ascii="Times New Roman" w:eastAsia="Times New Roman" w:hAnsi="Times New Roman" w:cs="Times New Roman"/>
          <w:sz w:val="28"/>
          <w:szCs w:val="28"/>
          <w:lang w:eastAsia="ru-RU"/>
        </w:rPr>
        <w:t>отдела</w:t>
      </w:r>
      <w:r w:rsidRPr="003F3E5E">
        <w:rPr>
          <w:rFonts w:ascii="Times New Roman" w:eastAsia="Times New Roman" w:hAnsi="Times New Roman" w:cs="Times New Roman"/>
          <w:sz w:val="28"/>
          <w:szCs w:val="28"/>
          <w:lang w:eastAsia="ru-RU"/>
        </w:rPr>
        <w:t xml:space="preserve"> характеризуется высоким профессионализмом и квалификацией, экономической грамотностью, высоким уровнем правовых знаний, работников направляют на курсы повышения квалификации, переквалификации и др. Все рабочие места компьютеризированы, применяются современные средства связи</w:t>
      </w:r>
      <w:r w:rsidRPr="003F3E5E">
        <w:rPr>
          <w:rFonts w:ascii="Times New Roman" w:eastAsia="Times New Roman" w:hAnsi="Times New Roman" w:cs="Times New Roman"/>
          <w:noProof/>
          <w:sz w:val="28"/>
          <w:szCs w:val="28"/>
          <w:lang w:eastAsia="ru-RU"/>
        </w:rPr>
        <w:t xml:space="preserve"> -</w:t>
      </w:r>
      <w:r w:rsidRPr="003F3E5E">
        <w:rPr>
          <w:rFonts w:ascii="Times New Roman" w:eastAsia="Times New Roman" w:hAnsi="Times New Roman" w:cs="Times New Roman"/>
          <w:sz w:val="28"/>
          <w:szCs w:val="28"/>
          <w:lang w:eastAsia="ru-RU"/>
        </w:rPr>
        <w:t xml:space="preserve"> факс, модем, электронная почта, есть выход в Internet.</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Работа с клиентами - это тонкий вопрос для любого банка. Как правило, все они начинают с единой стандартизованной линейки продуктов, однако с течением времени и ростом оборотов отдельным клиентам предоставляются те ли иные преференции - внедрение индивидуальных ставок, стоимости услуг, отсрочек по оплате и так далее. Обычно подобные решения в банках являются сугубо индивидуальными, зависят от менеджера. В небольших кредитно-финансовых учреждениях подобный подход является вполне нормальной практикой, в нем нет ничего удивительного.</w:t>
      </w:r>
    </w:p>
    <w:p w:rsidR="00C84A80" w:rsidRPr="003F3E5E" w:rsidRDefault="00C84A80" w:rsidP="00C84A80">
      <w:pPr>
        <w:spacing w:after="0" w:line="360" w:lineRule="auto"/>
        <w:ind w:firstLine="709"/>
        <w:jc w:val="both"/>
        <w:rPr>
          <w:rFonts w:ascii="Times New Roman" w:hAnsi="Times New Roman" w:cs="Times New Roman"/>
          <w:sz w:val="28"/>
          <w:szCs w:val="28"/>
        </w:rPr>
      </w:pPr>
      <w:r w:rsidRPr="003F3E5E">
        <w:rPr>
          <w:rFonts w:ascii="Times New Roman" w:hAnsi="Times New Roman" w:cs="Times New Roman"/>
          <w:bCs/>
          <w:iCs/>
          <w:sz w:val="28"/>
          <w:szCs w:val="28"/>
        </w:rPr>
        <w:t>Основной минимум нормативных документов, которые должен знать сотрудник группы по работе с физическими лицами:</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1. Гражданский Кодекс РФ:</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Часть 1 Глава 10 (регламентирует работу с доверенностями, что очень актуально при работе с физическими лицами);</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Часть 2 Глава 44 «Банковский вклад» и Глава 45 «Банковский счет»</w:t>
      </w:r>
    </w:p>
    <w:p w:rsidR="00C84A80" w:rsidRPr="003F3E5E" w:rsidRDefault="00C84A80" w:rsidP="00C84A80">
      <w:pPr>
        <w:spacing w:after="0" w:line="360" w:lineRule="auto"/>
        <w:jc w:val="both"/>
        <w:rPr>
          <w:rFonts w:ascii="Times New Roman" w:hAnsi="Times New Roman" w:cs="Times New Roman"/>
          <w:iCs/>
          <w:sz w:val="28"/>
          <w:szCs w:val="28"/>
        </w:rPr>
      </w:pPr>
      <w:r w:rsidRPr="003F3E5E">
        <w:rPr>
          <w:rFonts w:ascii="Times New Roman" w:hAnsi="Times New Roman" w:cs="Times New Roman"/>
          <w:iCs/>
          <w:sz w:val="28"/>
          <w:szCs w:val="28"/>
        </w:rPr>
        <w:t>• Часть 3 Глава 62 ст.1128 «Завещания».</w:t>
      </w:r>
      <w:r w:rsidR="000033ED">
        <w:rPr>
          <w:rStyle w:val="af0"/>
          <w:rFonts w:ascii="Times New Roman" w:hAnsi="Times New Roman" w:cs="Times New Roman"/>
          <w:iCs/>
          <w:sz w:val="28"/>
          <w:szCs w:val="28"/>
        </w:rPr>
        <w:footnoteReference w:id="2"/>
      </w:r>
    </w:p>
    <w:p w:rsidR="00C84A80" w:rsidRPr="003F3E5E" w:rsidRDefault="00C84A80" w:rsidP="00C84A80">
      <w:pPr>
        <w:spacing w:after="0" w:line="360" w:lineRule="auto"/>
        <w:jc w:val="both"/>
        <w:rPr>
          <w:rFonts w:ascii="Times New Roman" w:hAnsi="Times New Roman" w:cs="Times New Roman"/>
          <w:iCs/>
          <w:sz w:val="28"/>
          <w:szCs w:val="28"/>
        </w:rPr>
      </w:pPr>
      <w:r w:rsidRPr="003F3E5E">
        <w:rPr>
          <w:rFonts w:ascii="Times New Roman" w:hAnsi="Times New Roman" w:cs="Times New Roman"/>
          <w:iCs/>
          <w:sz w:val="28"/>
          <w:szCs w:val="28"/>
        </w:rPr>
        <w:t xml:space="preserve">2. «Закон о банках и банковской деятельности» ст. 26 «Банковская тайна». </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lastRenderedPageBreak/>
        <w:t>Содержит перечень сведений являющихся банковской тайной, не подлежащей разглашению неправомочным лицам.</w:t>
      </w:r>
      <w:r w:rsidR="00F6489B">
        <w:rPr>
          <w:rStyle w:val="af0"/>
          <w:rFonts w:ascii="Times New Roman" w:hAnsi="Times New Roman" w:cs="Times New Roman"/>
          <w:iCs/>
          <w:sz w:val="28"/>
          <w:szCs w:val="28"/>
        </w:rPr>
        <w:footnoteReference w:id="3"/>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3. «Закон об исполнительном произ</w:t>
      </w:r>
      <w:r w:rsidR="00F6489B">
        <w:rPr>
          <w:rFonts w:ascii="Times New Roman" w:hAnsi="Times New Roman" w:cs="Times New Roman"/>
          <w:iCs/>
          <w:sz w:val="28"/>
          <w:szCs w:val="28"/>
        </w:rPr>
        <w:t>водстве» № 229-ФЗ от 02.10.2007</w:t>
      </w:r>
      <w:r w:rsidRPr="003F3E5E">
        <w:rPr>
          <w:rFonts w:ascii="Times New Roman" w:hAnsi="Times New Roman" w:cs="Times New Roman"/>
          <w:iCs/>
          <w:sz w:val="28"/>
          <w:szCs w:val="28"/>
        </w:rPr>
        <w:t>:</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Глава 1 ст.8 (об исполнении требований судебных актов банками);</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Глава 2 (содержит перечень исполнительных документов и требования к их оформлению. Поскольку исполнительные документы часто выставляются к счетам клиентов банка, операционист обязан знать их);</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Глава 8 ст.70-72 (о том, каким образом обращается взыскание на счета клиентов в банке), ст.81 (о порядке ареста счета клиента в банке);</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 Глава 15 ст. 114 (об ответственности к которой может быть привлечен банк из-за нарушения операционистом вышеперечисленных положений данного закона).</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4. Положение Банка России № 385-П от 16.07.2012 г. «О Правилах ведения бухгалтерского учета в кредитных организациях, расположенных на территории Российской Федерации». Это основной документ определяющий ведение бухгалтерского учета в банке. Работа в банке с физическими лицами предполагает знание этого документа в части характеристики балансовых счетов №№ 40817,40905,40909,40911,40912,40913,423,426,47411 (необходимо четко знать какие операции проводятся по данным счетам, в корреспонденции с какими счетами они работают и какова их аналитика).</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5.</w:t>
      </w:r>
      <w:r w:rsidRPr="003F3E5E">
        <w:rPr>
          <w:rFonts w:ascii="Times New Roman" w:hAnsi="Times New Roman" w:cs="Times New Roman"/>
          <w:sz w:val="28"/>
          <w:szCs w:val="28"/>
        </w:rPr>
        <w:t xml:space="preserve"> </w:t>
      </w:r>
      <w:r w:rsidRPr="003F3E5E">
        <w:rPr>
          <w:rFonts w:ascii="Times New Roman" w:hAnsi="Times New Roman" w:cs="Times New Roman"/>
          <w:iCs/>
          <w:sz w:val="28"/>
          <w:szCs w:val="28"/>
        </w:rPr>
        <w:t>Положение Банка России № 383-П от 19.03.2012 "О правила осуществления переводов денежных средств".</w:t>
      </w:r>
      <w:r w:rsidR="000033ED">
        <w:rPr>
          <w:rStyle w:val="af0"/>
          <w:rFonts w:ascii="Times New Roman" w:hAnsi="Times New Roman" w:cs="Times New Roman"/>
          <w:iCs/>
          <w:sz w:val="28"/>
          <w:szCs w:val="28"/>
        </w:rPr>
        <w:footnoteReference w:id="4"/>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t>6. Положение Банка России № 39-П от 26.06.1998 г. «О порядке начисления процентов по операциям, связанным с привлечением и размещением денежных средств банками».</w:t>
      </w:r>
      <w:r w:rsidR="00F6489B">
        <w:rPr>
          <w:rStyle w:val="af0"/>
          <w:rFonts w:ascii="Times New Roman" w:hAnsi="Times New Roman" w:cs="Times New Roman"/>
          <w:iCs/>
          <w:sz w:val="28"/>
          <w:szCs w:val="28"/>
        </w:rPr>
        <w:footnoteReference w:id="5"/>
      </w:r>
      <w:r w:rsidRPr="003F3E5E">
        <w:rPr>
          <w:rFonts w:ascii="Times New Roman" w:hAnsi="Times New Roman" w:cs="Times New Roman"/>
          <w:iCs/>
          <w:sz w:val="28"/>
          <w:szCs w:val="28"/>
        </w:rPr>
        <w:t xml:space="preserve"> Здесь определены правила начисления процентов по вкладам.</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iCs/>
          <w:sz w:val="28"/>
          <w:szCs w:val="28"/>
        </w:rPr>
        <w:lastRenderedPageBreak/>
        <w:t>7. Внутренние положения конкретного банка, определяющие и уточняющие порядок работы с физическими лицами.</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hAnsi="Times New Roman" w:cs="Times New Roman"/>
          <w:sz w:val="28"/>
          <w:szCs w:val="28"/>
        </w:rPr>
        <w:t xml:space="preserve">В </w:t>
      </w:r>
      <w:r>
        <w:rPr>
          <w:rFonts w:ascii="Times New Roman" w:hAnsi="Times New Roman" w:cs="Times New Roman"/>
          <w:sz w:val="28"/>
          <w:szCs w:val="28"/>
        </w:rPr>
        <w:t>отделе</w:t>
      </w:r>
      <w:r w:rsidRPr="003F3E5E">
        <w:rPr>
          <w:rFonts w:ascii="Times New Roman" w:hAnsi="Times New Roman" w:cs="Times New Roman"/>
          <w:sz w:val="28"/>
          <w:szCs w:val="28"/>
        </w:rPr>
        <w:t xml:space="preserve">, где проходила практика, </w:t>
      </w:r>
      <w:r w:rsidRPr="003F3E5E">
        <w:rPr>
          <w:rFonts w:ascii="Times New Roman" w:eastAsia="Times New Roman" w:hAnsi="Times New Roman" w:cs="Times New Roman"/>
          <w:sz w:val="28"/>
          <w:szCs w:val="28"/>
          <w:lang w:eastAsia="ru-RU"/>
        </w:rPr>
        <w:t>понятие «специалист по обслуживанию физических лиц в банке» – слишком общее и объединяет несколько профессий:</w:t>
      </w:r>
    </w:p>
    <w:p w:rsidR="00C84A80" w:rsidRPr="003F3E5E" w:rsidRDefault="00C84A80" w:rsidP="00C84A80">
      <w:pPr>
        <w:numPr>
          <w:ilvl w:val="0"/>
          <w:numId w:val="1"/>
        </w:numPr>
        <w:spacing w:after="0" w:line="360" w:lineRule="auto"/>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менеджер по работе с клиентами / Account Manager;</w:t>
      </w:r>
    </w:p>
    <w:p w:rsidR="00C84A80" w:rsidRPr="003F3E5E" w:rsidRDefault="00C84A80" w:rsidP="00C84A80">
      <w:pPr>
        <w:numPr>
          <w:ilvl w:val="0"/>
          <w:numId w:val="1"/>
        </w:numPr>
        <w:spacing w:after="0" w:line="360" w:lineRule="auto"/>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менеджер по сопровождению клиентов / Relationship Manager.</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Требования, предъявляемые к клиент-менеджеру:</w:t>
      </w:r>
    </w:p>
    <w:p w:rsidR="00C84A80" w:rsidRPr="003F3E5E" w:rsidRDefault="00C84A80" w:rsidP="00C84A80">
      <w:pPr>
        <w:spacing w:after="0" w:line="360" w:lineRule="auto"/>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 xml:space="preserve">Кандидатам, которые претендуют на должности Account Manager, «операционист», «кассир», желательно иметь профильное (банковское) образование, причем необязательно высшее. </w:t>
      </w:r>
    </w:p>
    <w:p w:rsidR="00C84A80" w:rsidRPr="003F3E5E"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Основные обязанности менеджера по работе с клиентами в операционном офисе заключаются в привлечении, сопровождении и консультировании клиентов. У нашего офиса есть своя классификация клиентов и определенные целевые группы.</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Обязанности клиент- менеджера группы по работе с физическими лицами:</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 консультирование клиентов по продуктам и услугам для физических лиц;</w:t>
      </w:r>
      <w:r w:rsidRPr="003F3E5E">
        <w:rPr>
          <w:rFonts w:ascii="Times New Roman" w:hAnsi="Times New Roman" w:cs="Times New Roman"/>
          <w:sz w:val="28"/>
          <w:szCs w:val="28"/>
        </w:rPr>
        <w:br/>
        <w:t>- формирование потребности у клиента и продажа дополнительных услуг (перекрестные продажи);</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 обучение клиентов работе в зоне самообслуживания;</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 повышение лояльности действующих клиентов;</w:t>
      </w:r>
    </w:p>
    <w:p w:rsidR="00C84A80" w:rsidRPr="003F3E5E" w:rsidRDefault="00C84A80" w:rsidP="00C84A80">
      <w:pPr>
        <w:spacing w:after="0" w:line="360" w:lineRule="auto"/>
        <w:jc w:val="both"/>
        <w:rPr>
          <w:rFonts w:ascii="Times New Roman" w:hAnsi="Times New Roman" w:cs="Times New Roman"/>
          <w:sz w:val="28"/>
          <w:szCs w:val="28"/>
        </w:rPr>
      </w:pPr>
      <w:r w:rsidRPr="003F3E5E">
        <w:rPr>
          <w:rFonts w:ascii="Times New Roman" w:hAnsi="Times New Roman" w:cs="Times New Roman"/>
          <w:sz w:val="28"/>
          <w:szCs w:val="28"/>
        </w:rPr>
        <w:t>- выполнение установленных планов продаж.</w:t>
      </w:r>
    </w:p>
    <w:p w:rsidR="00C84A80" w:rsidRPr="000033ED" w:rsidRDefault="00C84A80" w:rsidP="000033ED">
      <w:pPr>
        <w:spacing w:after="0" w:line="360" w:lineRule="auto"/>
        <w:ind w:firstLine="709"/>
        <w:jc w:val="both"/>
        <w:rPr>
          <w:rFonts w:ascii="Times New Roman" w:eastAsia="Times New Roman" w:hAnsi="Times New Roman" w:cs="Times New Roman"/>
          <w:sz w:val="28"/>
          <w:szCs w:val="28"/>
          <w:lang w:eastAsia="ru-RU"/>
        </w:rPr>
      </w:pPr>
      <w:r w:rsidRPr="003F3E5E">
        <w:rPr>
          <w:rFonts w:ascii="Times New Roman" w:eastAsia="Times New Roman" w:hAnsi="Times New Roman" w:cs="Times New Roman"/>
          <w:sz w:val="28"/>
          <w:szCs w:val="28"/>
          <w:lang w:eastAsia="ru-RU"/>
        </w:rPr>
        <w:t>Качествами,</w:t>
      </w:r>
      <w:r>
        <w:rPr>
          <w:rFonts w:ascii="Times New Roman" w:eastAsia="Times New Roman" w:hAnsi="Times New Roman" w:cs="Times New Roman"/>
          <w:sz w:val="28"/>
          <w:szCs w:val="28"/>
          <w:lang w:eastAsia="ru-RU"/>
        </w:rPr>
        <w:t xml:space="preserve"> </w:t>
      </w:r>
      <w:r w:rsidRPr="003F3E5E">
        <w:rPr>
          <w:rFonts w:ascii="Times New Roman" w:eastAsia="Times New Roman" w:hAnsi="Times New Roman" w:cs="Times New Roman"/>
          <w:sz w:val="28"/>
          <w:szCs w:val="28"/>
          <w:lang w:eastAsia="ru-RU"/>
        </w:rPr>
        <w:t xml:space="preserve">которыми должен обладать менеджер по работе с физическими лицами. Аналогичный опыт работы является безусловным преимуществом. Менеджер по работе с клиентами в розничном банке должен хорошо знать розничные банковские продукты, иметь хорошие </w:t>
      </w:r>
      <w:hyperlink r:id="rId17" w:history="1">
        <w:r w:rsidRPr="003F3E5E">
          <w:rPr>
            <w:rFonts w:ascii="Times New Roman" w:eastAsia="Times New Roman" w:hAnsi="Times New Roman" w:cs="Times New Roman"/>
            <w:sz w:val="28"/>
            <w:szCs w:val="28"/>
            <w:lang w:eastAsia="ru-RU"/>
          </w:rPr>
          <w:t xml:space="preserve">коммуникативные </w:t>
        </w:r>
      </w:hyperlink>
      <w:r w:rsidRPr="003F3E5E">
        <w:rPr>
          <w:rFonts w:ascii="Times New Roman" w:eastAsia="Times New Roman" w:hAnsi="Times New Roman" w:cs="Times New Roman"/>
          <w:sz w:val="28"/>
          <w:szCs w:val="28"/>
          <w:lang w:eastAsia="ru-RU"/>
        </w:rPr>
        <w:t>навыки. Из </w:t>
      </w:r>
      <w:hyperlink r:id="rId18" w:history="1">
        <w:r w:rsidRPr="003F3E5E">
          <w:rPr>
            <w:rFonts w:ascii="Times New Roman" w:eastAsia="Times New Roman" w:hAnsi="Times New Roman" w:cs="Times New Roman"/>
            <w:sz w:val="28"/>
            <w:szCs w:val="28"/>
            <w:lang w:eastAsia="ru-RU"/>
          </w:rPr>
          <w:t xml:space="preserve">личностных </w:t>
        </w:r>
      </w:hyperlink>
      <w:r w:rsidRPr="003F3E5E">
        <w:rPr>
          <w:rFonts w:ascii="Times New Roman" w:eastAsia="Times New Roman" w:hAnsi="Times New Roman" w:cs="Times New Roman"/>
          <w:sz w:val="28"/>
          <w:szCs w:val="28"/>
          <w:lang w:eastAsia="ru-RU"/>
        </w:rPr>
        <w:t xml:space="preserve">качеств приветствуются: активная жизненная позиция, </w:t>
      </w:r>
      <w:hyperlink r:id="rId19" w:history="1">
        <w:r w:rsidRPr="003F3E5E">
          <w:rPr>
            <w:rFonts w:ascii="Times New Roman" w:eastAsia="Times New Roman" w:hAnsi="Times New Roman" w:cs="Times New Roman"/>
            <w:sz w:val="28"/>
            <w:szCs w:val="28"/>
            <w:lang w:eastAsia="ru-RU"/>
          </w:rPr>
          <w:t>стремление к обучению</w:t>
        </w:r>
      </w:hyperlink>
      <w:r w:rsidRPr="003F3E5E">
        <w:rPr>
          <w:rFonts w:ascii="Times New Roman" w:eastAsia="Times New Roman" w:hAnsi="Times New Roman" w:cs="Times New Roman"/>
          <w:sz w:val="28"/>
          <w:szCs w:val="28"/>
          <w:lang w:eastAsia="ru-RU"/>
        </w:rPr>
        <w:t xml:space="preserve">, структурированность мышления, </w:t>
      </w:r>
      <w:hyperlink r:id="rId20" w:history="1">
        <w:r w:rsidRPr="003F3E5E">
          <w:rPr>
            <w:rFonts w:ascii="Times New Roman" w:eastAsia="Times New Roman" w:hAnsi="Times New Roman" w:cs="Times New Roman"/>
            <w:sz w:val="28"/>
            <w:szCs w:val="28"/>
            <w:lang w:eastAsia="ru-RU"/>
          </w:rPr>
          <w:t>стрессоустойчивость</w:t>
        </w:r>
      </w:hyperlink>
      <w:r w:rsidRPr="003F3E5E">
        <w:rPr>
          <w:rFonts w:ascii="Times New Roman" w:eastAsia="Times New Roman" w:hAnsi="Times New Roman" w:cs="Times New Roman"/>
          <w:sz w:val="28"/>
          <w:szCs w:val="28"/>
          <w:lang w:eastAsia="ru-RU"/>
        </w:rPr>
        <w:t>.</w:t>
      </w:r>
      <w:r w:rsidR="000033ED">
        <w:rPr>
          <w:rStyle w:val="af0"/>
          <w:rFonts w:ascii="Times New Roman" w:eastAsia="Times New Roman" w:hAnsi="Times New Roman" w:cs="Times New Roman"/>
          <w:sz w:val="28"/>
          <w:szCs w:val="28"/>
          <w:lang w:eastAsia="ru-RU"/>
        </w:rPr>
        <w:footnoteReference w:id="6"/>
      </w:r>
      <w:bookmarkStart w:id="4" w:name="_Toc352225273"/>
      <w:bookmarkStart w:id="5" w:name="_Toc319084218"/>
      <w:bookmarkStart w:id="6" w:name="_Toc346004682"/>
      <w:bookmarkStart w:id="7" w:name="_Toc347865901"/>
      <w:bookmarkStart w:id="8" w:name="_Toc350547189"/>
      <w:bookmarkStart w:id="9" w:name="_Toc352225274"/>
    </w:p>
    <w:p w:rsidR="00C84A80" w:rsidRPr="00062354" w:rsidRDefault="001D3535" w:rsidP="00C84A80">
      <w:pPr>
        <w:pStyle w:val="3"/>
        <w:spacing w:before="0" w:line="360" w:lineRule="auto"/>
        <w:jc w:val="center"/>
        <w:rPr>
          <w:rFonts w:ascii="Times New Roman" w:eastAsia="Calibri" w:hAnsi="Times New Roman" w:cs="Times New Roman"/>
          <w:color w:val="auto"/>
          <w:sz w:val="28"/>
          <w:szCs w:val="28"/>
          <w:lang w:eastAsia="ru-RU"/>
        </w:rPr>
      </w:pPr>
      <w:bookmarkStart w:id="10" w:name="_Toc360362454"/>
      <w:r>
        <w:rPr>
          <w:rFonts w:ascii="Times New Roman" w:eastAsia="Calibri" w:hAnsi="Times New Roman" w:cs="Times New Roman"/>
          <w:color w:val="auto"/>
          <w:sz w:val="28"/>
          <w:szCs w:val="28"/>
          <w:lang w:eastAsia="ru-RU"/>
        </w:rPr>
        <w:lastRenderedPageBreak/>
        <w:t>3. Инструмент безналичного расчёта - банковская карта</w:t>
      </w:r>
      <w:bookmarkEnd w:id="10"/>
    </w:p>
    <w:p w:rsidR="001D3535" w:rsidRPr="00062354" w:rsidRDefault="001D3535" w:rsidP="001D3535">
      <w:pPr>
        <w:pStyle w:val="3"/>
        <w:spacing w:before="0" w:line="360" w:lineRule="auto"/>
        <w:jc w:val="center"/>
        <w:rPr>
          <w:rFonts w:ascii="Times New Roman" w:hAnsi="Times New Roman" w:cs="Times New Roman"/>
          <w:color w:val="auto"/>
          <w:sz w:val="28"/>
          <w:szCs w:val="28"/>
          <w:lang w:eastAsia="ru-RU"/>
        </w:rPr>
      </w:pPr>
      <w:bookmarkStart w:id="11" w:name="_Toc360362455"/>
      <w:r w:rsidRPr="00062354">
        <w:rPr>
          <w:rFonts w:ascii="Times New Roman" w:hAnsi="Times New Roman" w:cs="Times New Roman"/>
          <w:color w:val="auto"/>
          <w:sz w:val="28"/>
          <w:szCs w:val="28"/>
          <w:lang w:eastAsia="ru-RU"/>
        </w:rPr>
        <w:t xml:space="preserve">3.1. </w:t>
      </w:r>
      <w:r w:rsidR="00062354" w:rsidRPr="00062354">
        <w:rPr>
          <w:rFonts w:ascii="Times New Roman" w:eastAsia="Times New Roman" w:hAnsi="Times New Roman" w:cs="Times New Roman"/>
          <w:bCs w:val="0"/>
          <w:color w:val="auto"/>
          <w:sz w:val="28"/>
          <w:szCs w:val="28"/>
          <w:lang w:eastAsia="ru-RU"/>
        </w:rPr>
        <w:t>Показатели функционирования рынка пластиковых карт</w:t>
      </w:r>
      <w:bookmarkEnd w:id="11"/>
    </w:p>
    <w:p w:rsidR="00C84A80" w:rsidRPr="00C84A80" w:rsidRDefault="00C84A80" w:rsidP="00C84A80">
      <w:pPr>
        <w:spacing w:after="0" w:line="360" w:lineRule="auto"/>
        <w:ind w:firstLine="709"/>
        <w:jc w:val="both"/>
        <w:rPr>
          <w:rFonts w:ascii="Times New Roman" w:eastAsia="Calibri" w:hAnsi="Times New Roman" w:cs="Times New Roman"/>
          <w:sz w:val="28"/>
          <w:szCs w:val="28"/>
          <w:lang w:eastAsia="ru-RU"/>
        </w:rPr>
      </w:pPr>
      <w:r w:rsidRPr="00C84A80">
        <w:rPr>
          <w:rFonts w:ascii="Times New Roman" w:eastAsia="Calibri" w:hAnsi="Times New Roman" w:cs="Times New Roman"/>
          <w:sz w:val="28"/>
          <w:szCs w:val="28"/>
          <w:lang w:eastAsia="ru-RU"/>
        </w:rPr>
        <w:t>Одним из направлений деятельности коммерческого банка является предоставление населению таких продуктов, как банковская карта, являющаяся их инструментом безналичных расчетов.</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Однако, несмотря на активное развитие этого направления банковского бизнеса, до сих пор на практике не разработана методика для оценки данного вида деятельности, что затрудняет процессы прогнозирования и планирования.</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Анализ, представленный </w:t>
      </w:r>
      <w:r w:rsidR="001D3535">
        <w:rPr>
          <w:rFonts w:ascii="Times New Roman" w:eastAsia="Times New Roman" w:hAnsi="Times New Roman" w:cs="Times New Roman"/>
          <w:sz w:val="28"/>
          <w:szCs w:val="28"/>
          <w:lang w:eastAsia="ru-RU"/>
        </w:rPr>
        <w:t>ниже</w:t>
      </w:r>
      <w:r w:rsidR="0047305B">
        <w:rPr>
          <w:rFonts w:ascii="Times New Roman" w:eastAsia="Times New Roman" w:hAnsi="Times New Roman" w:cs="Times New Roman"/>
          <w:sz w:val="28"/>
          <w:szCs w:val="28"/>
          <w:lang w:eastAsia="ru-RU"/>
        </w:rPr>
        <w:t>,</w:t>
      </w:r>
      <w:r w:rsidR="001D3535">
        <w:rPr>
          <w:rFonts w:ascii="Times New Roman" w:eastAsia="Times New Roman" w:hAnsi="Times New Roman" w:cs="Times New Roman"/>
          <w:sz w:val="28"/>
          <w:szCs w:val="28"/>
          <w:lang w:eastAsia="ru-RU"/>
        </w:rPr>
        <w:t xml:space="preserve"> </w:t>
      </w:r>
      <w:r w:rsidRPr="00C84A80">
        <w:rPr>
          <w:rFonts w:ascii="Times New Roman" w:eastAsia="Times New Roman" w:hAnsi="Times New Roman" w:cs="Times New Roman"/>
          <w:sz w:val="28"/>
          <w:szCs w:val="28"/>
          <w:lang w:eastAsia="ru-RU"/>
        </w:rPr>
        <w:t>содержит две части, одна из которых посвящена вопросам анализа рынка пластиковых карт, на котором оперирует конкретно взятый банк. Вторая часть – анализ деятельности банка с пластиковыми картами.</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Отсутствие методики анализа и оценки развития рынка банковских карт в России объясняется тем, что в нашей стране в отличие от западных стран не накоплен достаточный опыт использования банковских карт, в том числе в качестве инструмента безналичных расчетов, а, следовательно, отсутствует теоретическая база для разработки такой методики анализа. По нашему мнению, объективный и достаточно развернутый подход к анализу рынка пластиковых карт представлен в работе Н.В. Огуреевой</w:t>
      </w:r>
      <w:r w:rsidRPr="00C84A80">
        <w:rPr>
          <w:rFonts w:ascii="Times New Roman" w:eastAsia="Times New Roman" w:hAnsi="Times New Roman" w:cs="Times New Roman"/>
          <w:sz w:val="28"/>
          <w:szCs w:val="28"/>
          <w:vertAlign w:val="superscript"/>
          <w:lang w:eastAsia="ru-RU"/>
        </w:rPr>
        <w:footnoteReference w:id="7"/>
      </w:r>
      <w:r w:rsidRPr="00C84A80">
        <w:rPr>
          <w:rFonts w:ascii="Times New Roman" w:eastAsia="Times New Roman" w:hAnsi="Times New Roman" w:cs="Times New Roman"/>
          <w:sz w:val="28"/>
          <w:szCs w:val="28"/>
          <w:lang w:eastAsia="ru-RU"/>
        </w:rPr>
        <w:t>, которая выделяет следующие этапы анализа:</w:t>
      </w:r>
    </w:p>
    <w:p w:rsidR="00C84A80" w:rsidRPr="00C84A80" w:rsidRDefault="00C84A80" w:rsidP="00C84A80">
      <w:pPr>
        <w:spacing w:after="0" w:line="360" w:lineRule="auto"/>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анализ использования банковских карт физическими и юридическими лицами;</w:t>
      </w:r>
      <w:r w:rsidRPr="00C84A80">
        <w:rPr>
          <w:rFonts w:ascii="Times New Roman" w:eastAsia="Times New Roman" w:hAnsi="Times New Roman" w:cs="Times New Roman"/>
          <w:sz w:val="28"/>
          <w:szCs w:val="28"/>
          <w:lang w:eastAsia="ru-RU"/>
        </w:rPr>
        <w:br/>
        <w:t>- анализ объемов рынка банковских карт;</w:t>
      </w:r>
    </w:p>
    <w:p w:rsidR="00C84A80" w:rsidRPr="00C84A80" w:rsidRDefault="00C84A80" w:rsidP="00C84A80">
      <w:pPr>
        <w:spacing w:after="0" w:line="360" w:lineRule="auto"/>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анализ инфраструктуры рынка банковских карт.</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Информационной базой ежеквартального анализа является отчетность, предоставляемая кредитными организациями в Банк России на ежеквартальной основе по форме 0409250 «Сведения об операциях с </w:t>
      </w:r>
      <w:r w:rsidRPr="00C84A80">
        <w:rPr>
          <w:rFonts w:ascii="Times New Roman" w:eastAsia="Times New Roman" w:hAnsi="Times New Roman" w:cs="Times New Roman"/>
          <w:sz w:val="28"/>
          <w:szCs w:val="28"/>
          <w:lang w:eastAsia="ru-RU"/>
        </w:rPr>
        <w:lastRenderedPageBreak/>
        <w:t>использованием платежных карт и инфраструктуре, предназначенной для совершения c использованием и без использования платежных карт операций выдачи (приема) наличных денежных средств и платежей за товары (работы, услуги)».</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Для оценки объемов рынка банковских карт используется показатель объема операций, совершенных с использованием банковских карт к объему ВВП, если оценка осуществляется в целом по рынку России.</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Если же осуществляется оценка регионального рынка пластиковых карт (Рпл.регион), то формула будет иметь более прикладной характер, когда объемы операций с пластиковыми картами на территории отдельно взятого региона относятся к ВРП.</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Как указывает Огуреева, динамика данного показателя может характеризовать не только изменение масштабов и стоимостную значимость рынка, но и являться индикатором изменения предпочтения кредитных расчетов с использованием банковских карт.</w:t>
      </w:r>
    </w:p>
    <w:p w:rsid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Анализ показателей инфраструктуры и использования банковских карт (расчет и интерпретация результатов) представлен в таблице 3.1.</w:t>
      </w:r>
    </w:p>
    <w:p w:rsidR="00062354" w:rsidRPr="00C84A80" w:rsidRDefault="00062354" w:rsidP="0006235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w:t>
      </w:r>
      <w:r w:rsidRPr="00C84A80">
        <w:rPr>
          <w:rFonts w:ascii="Times New Roman" w:eastAsia="Times New Roman" w:hAnsi="Times New Roman" w:cs="Times New Roman"/>
          <w:sz w:val="28"/>
          <w:szCs w:val="28"/>
          <w:lang w:eastAsia="ru-RU"/>
        </w:rPr>
        <w:t>спользуя предложенные подходы к оценке, получи</w:t>
      </w:r>
      <w:r>
        <w:rPr>
          <w:rFonts w:ascii="Times New Roman" w:eastAsia="Times New Roman" w:hAnsi="Times New Roman" w:cs="Times New Roman"/>
          <w:sz w:val="28"/>
          <w:szCs w:val="28"/>
          <w:lang w:eastAsia="ru-RU"/>
        </w:rPr>
        <w:t>чаем</w:t>
      </w:r>
      <w:r w:rsidRPr="00C84A80">
        <w:rPr>
          <w:rFonts w:ascii="Times New Roman" w:eastAsia="Times New Roman" w:hAnsi="Times New Roman" w:cs="Times New Roman"/>
          <w:sz w:val="28"/>
          <w:szCs w:val="28"/>
          <w:lang w:eastAsia="ru-RU"/>
        </w:rPr>
        <w:t>, например, следующие показатели развития рынка пластиковых карт в различных странах мира в период за 2012 год. (рис. 1)</w:t>
      </w:r>
    </w:p>
    <w:p w:rsidR="001D3535" w:rsidRPr="00C84A80" w:rsidRDefault="001D3535" w:rsidP="001D3535">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noProof/>
          <w:sz w:val="28"/>
          <w:szCs w:val="28"/>
          <w:lang w:eastAsia="ru-RU"/>
        </w:rPr>
        <w:drawing>
          <wp:inline distT="0" distB="0" distL="0" distR="0">
            <wp:extent cx="4714875" cy="2777619"/>
            <wp:effectExtent l="0" t="0" r="0" b="3810"/>
            <wp:docPr id="25" name="Рисунок 25" descr="http://bankir.ru/website/static/files/49/48244-ri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ankir.ru/website/static/files/49/48244-ris8.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6360" cy="2778494"/>
                    </a:xfrm>
                    <a:prstGeom prst="rect">
                      <a:avLst/>
                    </a:prstGeom>
                    <a:noFill/>
                    <a:ln>
                      <a:noFill/>
                    </a:ln>
                  </pic:spPr>
                </pic:pic>
              </a:graphicData>
            </a:graphic>
          </wp:inline>
        </w:drawing>
      </w:r>
    </w:p>
    <w:p w:rsidR="001D3535" w:rsidRPr="00C84A80" w:rsidRDefault="001D3535" w:rsidP="001D3535">
      <w:pPr>
        <w:spacing w:after="0" w:line="360" w:lineRule="auto"/>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bCs/>
          <w:sz w:val="28"/>
          <w:szCs w:val="28"/>
          <w:lang w:eastAsia="ru-RU"/>
        </w:rPr>
        <w:lastRenderedPageBreak/>
        <w:t>Рисунок 13.1. Показатели инфраструктуры обслуживания банковских карт, 2012 год</w:t>
      </w:r>
    </w:p>
    <w:p w:rsidR="00C84A80" w:rsidRPr="00C84A80" w:rsidRDefault="00C84A80" w:rsidP="001D3535">
      <w:pPr>
        <w:spacing w:after="0" w:line="360" w:lineRule="auto"/>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bCs/>
          <w:sz w:val="28"/>
          <w:szCs w:val="28"/>
          <w:lang w:eastAsia="ru-RU"/>
        </w:rPr>
        <w:t>Таблица 3.1. Показатели функционирования рынка пластиковых карт</w:t>
      </w:r>
    </w:p>
    <w:tbl>
      <w:tblPr>
        <w:tblStyle w:val="21"/>
        <w:tblW w:w="5000" w:type="pct"/>
        <w:tblLook w:val="04A0"/>
      </w:tblPr>
      <w:tblGrid>
        <w:gridCol w:w="1997"/>
        <w:gridCol w:w="4266"/>
        <w:gridCol w:w="3308"/>
      </w:tblGrid>
      <w:tr w:rsidR="00C84A80" w:rsidRPr="00C84A80" w:rsidTr="00C84A80">
        <w:tc>
          <w:tcPr>
            <w:tcW w:w="2100" w:type="dxa"/>
            <w:hideMark/>
          </w:tcPr>
          <w:p w:rsidR="00C84A80" w:rsidRPr="00C84A80" w:rsidRDefault="00C84A80" w:rsidP="00C84A80">
            <w:pPr>
              <w:jc w:val="both"/>
              <w:rPr>
                <w:rFonts w:ascii="Times New Roman" w:eastAsia="Times New Roman" w:hAnsi="Times New Roman"/>
                <w:bCs/>
                <w:sz w:val="24"/>
                <w:szCs w:val="24"/>
              </w:rPr>
            </w:pPr>
            <w:r w:rsidRPr="00C84A80">
              <w:rPr>
                <w:rFonts w:ascii="Times New Roman" w:eastAsia="Times New Roman" w:hAnsi="Times New Roman"/>
                <w:bCs/>
                <w:sz w:val="24"/>
                <w:szCs w:val="24"/>
              </w:rPr>
              <w:t>Наименование показателя</w:t>
            </w:r>
          </w:p>
        </w:tc>
        <w:tc>
          <w:tcPr>
            <w:tcW w:w="2100" w:type="dxa"/>
            <w:hideMark/>
          </w:tcPr>
          <w:p w:rsidR="00C84A80" w:rsidRPr="00C84A80" w:rsidRDefault="00C84A80" w:rsidP="00C84A80">
            <w:pPr>
              <w:jc w:val="both"/>
              <w:rPr>
                <w:rFonts w:ascii="Times New Roman" w:eastAsia="Times New Roman" w:hAnsi="Times New Roman"/>
                <w:bCs/>
                <w:sz w:val="24"/>
                <w:szCs w:val="24"/>
              </w:rPr>
            </w:pPr>
            <w:r w:rsidRPr="00C84A80">
              <w:rPr>
                <w:rFonts w:ascii="Times New Roman" w:eastAsia="Times New Roman" w:hAnsi="Times New Roman"/>
                <w:bCs/>
                <w:sz w:val="24"/>
                <w:szCs w:val="24"/>
              </w:rPr>
              <w:t>Расчет показателя</w:t>
            </w:r>
          </w:p>
        </w:tc>
        <w:tc>
          <w:tcPr>
            <w:tcW w:w="4905" w:type="dxa"/>
            <w:hideMark/>
          </w:tcPr>
          <w:p w:rsidR="00C84A80" w:rsidRPr="00C84A80" w:rsidRDefault="00C84A80" w:rsidP="00C84A80">
            <w:pPr>
              <w:jc w:val="both"/>
              <w:rPr>
                <w:rFonts w:ascii="Times New Roman" w:eastAsia="Times New Roman" w:hAnsi="Times New Roman"/>
                <w:bCs/>
                <w:sz w:val="24"/>
                <w:szCs w:val="24"/>
              </w:rPr>
            </w:pPr>
            <w:r w:rsidRPr="00C84A80">
              <w:rPr>
                <w:rFonts w:ascii="Times New Roman" w:eastAsia="Times New Roman" w:hAnsi="Times New Roman"/>
                <w:bCs/>
                <w:sz w:val="24"/>
                <w:szCs w:val="24"/>
              </w:rPr>
              <w:t>Пояснения к оценке показателя</w:t>
            </w:r>
          </w:p>
        </w:tc>
      </w:tr>
      <w:tr w:rsidR="00C84A80" w:rsidRPr="00C84A80" w:rsidTr="00C84A80">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Количество банкоматов, в расчете на 10 тыс. чел.</w:t>
            </w:r>
          </w:p>
        </w:tc>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noProof/>
                <w:sz w:val="24"/>
                <w:szCs w:val="24"/>
              </w:rPr>
              <w:drawing>
                <wp:inline distT="0" distB="0" distL="0" distR="0">
                  <wp:extent cx="1390650" cy="304800"/>
                  <wp:effectExtent l="0" t="0" r="0" b="0"/>
                  <wp:docPr id="16" name="Рисунок 16" descr="http://bankir.ru/website/static/files/49/48237-ri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ir.ru/website/static/files/49/48237-ris1.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0650" cy="304800"/>
                          </a:xfrm>
                          <a:prstGeom prst="rect">
                            <a:avLst/>
                          </a:prstGeom>
                          <a:noFill/>
                          <a:ln>
                            <a:noFill/>
                          </a:ln>
                        </pic:spPr>
                      </pic:pic>
                    </a:graphicData>
                  </a:graphic>
                </wp:inline>
              </w:drawing>
            </w:r>
          </w:p>
        </w:tc>
        <w:tc>
          <w:tcPr>
            <w:tcW w:w="4905"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Позволяет оценить инфраструктуру рынка пластиковых карт конкретно взятого города, региона, России в целом. (Для анализа необходимо учитывать, что в развитых странах данный показатель находится на уровне от 8 до 10).</w:t>
            </w:r>
          </w:p>
        </w:tc>
      </w:tr>
      <w:tr w:rsidR="00C84A80" w:rsidRPr="00C84A80" w:rsidTr="00C84A80">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Количество пос-терминалов, в расчете на 10 тыс. чел.</w:t>
            </w:r>
          </w:p>
        </w:tc>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noProof/>
                <w:sz w:val="24"/>
                <w:szCs w:val="24"/>
              </w:rPr>
              <w:drawing>
                <wp:inline distT="0" distB="0" distL="0" distR="0">
                  <wp:extent cx="1447800" cy="304800"/>
                  <wp:effectExtent l="0" t="0" r="0" b="0"/>
                  <wp:docPr id="17" name="Рисунок 17" descr="http://bankir.ru/website/static/files/49/48238-ri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ankir.ru/website/static/files/49/48238-ris2.pn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304800"/>
                          </a:xfrm>
                          <a:prstGeom prst="rect">
                            <a:avLst/>
                          </a:prstGeom>
                          <a:noFill/>
                          <a:ln>
                            <a:noFill/>
                          </a:ln>
                        </pic:spPr>
                      </pic:pic>
                    </a:graphicData>
                  </a:graphic>
                </wp:inline>
              </w:drawing>
            </w:r>
          </w:p>
        </w:tc>
        <w:tc>
          <w:tcPr>
            <w:tcW w:w="4905"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Позволяет оценить инфраструктуру рынка пластиковых карт конкретно взятого города, региона, России в целом. (Для анализа необходимо учитывать, что в развитых странах данный показатель находится на уровне от 100 до 200).</w:t>
            </w:r>
          </w:p>
        </w:tc>
      </w:tr>
      <w:tr w:rsidR="00C84A80" w:rsidRPr="00C84A80" w:rsidTr="00C84A80">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Объемы операций, совершенных с использованием банкоматов/пос-терминалов  в расчете на душу населения</w:t>
            </w:r>
          </w:p>
        </w:tc>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noProof/>
                <w:sz w:val="24"/>
                <w:szCs w:val="24"/>
              </w:rPr>
              <w:drawing>
                <wp:inline distT="0" distB="0" distL="0" distR="0">
                  <wp:extent cx="2362200" cy="304800"/>
                  <wp:effectExtent l="0" t="0" r="0" b="0"/>
                  <wp:docPr id="18" name="Рисунок 18" descr="http://bankir.ru/website/static/files/49/48239-ri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nkir.ru/website/static/files/49/48239-ris3.pn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2200" cy="304800"/>
                          </a:xfrm>
                          <a:prstGeom prst="rect">
                            <a:avLst/>
                          </a:prstGeom>
                          <a:noFill/>
                          <a:ln>
                            <a:noFill/>
                          </a:ln>
                        </pic:spPr>
                      </pic:pic>
                    </a:graphicData>
                  </a:graphic>
                </wp:inline>
              </w:drawing>
            </w:r>
            <w:r w:rsidRPr="00C84A80">
              <w:rPr>
                <w:rFonts w:ascii="Times New Roman" w:eastAsia="Times New Roman" w:hAnsi="Times New Roman"/>
                <w:noProof/>
                <w:sz w:val="24"/>
                <w:szCs w:val="24"/>
              </w:rPr>
              <w:drawing>
                <wp:inline distT="0" distB="0" distL="0" distR="0">
                  <wp:extent cx="2343150" cy="304800"/>
                  <wp:effectExtent l="0" t="0" r="0" b="0"/>
                  <wp:docPr id="19" name="Рисунок 19" descr="http://bankir.ru/website/static/files/49/48240-ri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ankir.ru/website/static/files/49/48240-ris4.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3150" cy="304800"/>
                          </a:xfrm>
                          <a:prstGeom prst="rect">
                            <a:avLst/>
                          </a:prstGeom>
                          <a:noFill/>
                          <a:ln>
                            <a:noFill/>
                          </a:ln>
                        </pic:spPr>
                      </pic:pic>
                    </a:graphicData>
                  </a:graphic>
                </wp:inline>
              </w:drawing>
            </w:r>
            <w:r w:rsidRPr="00C84A80">
              <w:rPr>
                <w:rFonts w:ascii="Times New Roman" w:eastAsia="Times New Roman" w:hAnsi="Times New Roman"/>
                <w:noProof/>
                <w:sz w:val="24"/>
                <w:szCs w:val="24"/>
              </w:rPr>
              <w:drawing>
                <wp:inline distT="0" distB="0" distL="0" distR="0">
                  <wp:extent cx="2447925" cy="304800"/>
                  <wp:effectExtent l="0" t="0" r="9525" b="0"/>
                  <wp:docPr id="20" name="Рисунок 20" descr="http://bankir.ru/website/static/files/49/48241-ri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ankir.ru/website/static/files/49/48241-ris5.png"/>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7925" cy="304800"/>
                          </a:xfrm>
                          <a:prstGeom prst="rect">
                            <a:avLst/>
                          </a:prstGeom>
                          <a:noFill/>
                          <a:ln>
                            <a:noFill/>
                          </a:ln>
                        </pic:spPr>
                      </pic:pic>
                    </a:graphicData>
                  </a:graphic>
                </wp:inline>
              </w:drawing>
            </w:r>
          </w:p>
        </w:tc>
        <w:tc>
          <w:tcPr>
            <w:tcW w:w="4905"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Характеризует уровень развития безналичных расчетов среди населения, чему способствует степень развития инфраструктуры рынка пластиковых карт.</w:t>
            </w:r>
          </w:p>
        </w:tc>
      </w:tr>
      <w:tr w:rsidR="00C84A80" w:rsidRPr="00C84A80" w:rsidTr="00C84A80">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Коэффициент использования пластиковых карт, как инструмента безналичн. расчетов</w:t>
            </w:r>
          </w:p>
        </w:tc>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noProof/>
                <w:sz w:val="24"/>
                <w:szCs w:val="24"/>
              </w:rPr>
              <w:drawing>
                <wp:inline distT="0" distB="0" distL="0" distR="0">
                  <wp:extent cx="2571750" cy="333375"/>
                  <wp:effectExtent l="0" t="0" r="0" b="9525"/>
                  <wp:docPr id="21" name="Рисунок 21" descr="http://bankir.ru/website/static/files/49/48242-ri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ankir.ru/website/static/files/49/48242-ris6.png"/>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333375"/>
                          </a:xfrm>
                          <a:prstGeom prst="rect">
                            <a:avLst/>
                          </a:prstGeom>
                          <a:noFill/>
                          <a:ln>
                            <a:noFill/>
                          </a:ln>
                        </pic:spPr>
                      </pic:pic>
                    </a:graphicData>
                  </a:graphic>
                </wp:inline>
              </w:drawing>
            </w:r>
          </w:p>
        </w:tc>
        <w:tc>
          <w:tcPr>
            <w:tcW w:w="4905"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Характеризует поведение держателей пластиковых карт. (Для анализа необходимо учитывать, что в развитых странах данный показатель выше 1). Положительно характеризуется рост показателя в динамике и его стремление к 1 и выше</w:t>
            </w:r>
          </w:p>
        </w:tc>
      </w:tr>
      <w:tr w:rsidR="00C84A80" w:rsidRPr="00C84A80" w:rsidTr="00C84A80">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Количество банковск. карт на душу населения</w:t>
            </w:r>
          </w:p>
        </w:tc>
        <w:tc>
          <w:tcPr>
            <w:tcW w:w="2100"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noProof/>
                <w:sz w:val="24"/>
                <w:szCs w:val="24"/>
              </w:rPr>
              <w:drawing>
                <wp:inline distT="0" distB="0" distL="0" distR="0">
                  <wp:extent cx="1390650" cy="304800"/>
                  <wp:effectExtent l="0" t="0" r="0" b="0"/>
                  <wp:docPr id="22" name="Рисунок 22" descr="http://bankir.ru/website/static/files/49/48243-ri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ankir.ru/website/static/files/49/48243-ris7.png"/>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0650" cy="304800"/>
                          </a:xfrm>
                          <a:prstGeom prst="rect">
                            <a:avLst/>
                          </a:prstGeom>
                          <a:noFill/>
                          <a:ln>
                            <a:noFill/>
                          </a:ln>
                        </pic:spPr>
                      </pic:pic>
                    </a:graphicData>
                  </a:graphic>
                </wp:inline>
              </w:drawing>
            </w:r>
          </w:p>
        </w:tc>
        <w:tc>
          <w:tcPr>
            <w:tcW w:w="4905" w:type="dxa"/>
            <w:hideMark/>
          </w:tcPr>
          <w:p w:rsidR="00C84A80" w:rsidRPr="00C84A80" w:rsidRDefault="00C84A80" w:rsidP="00C84A80">
            <w:pPr>
              <w:jc w:val="both"/>
              <w:rPr>
                <w:rFonts w:ascii="Times New Roman" w:eastAsia="Times New Roman" w:hAnsi="Times New Roman"/>
                <w:sz w:val="24"/>
                <w:szCs w:val="24"/>
              </w:rPr>
            </w:pPr>
            <w:r w:rsidRPr="00C84A80">
              <w:rPr>
                <w:rFonts w:ascii="Times New Roman" w:eastAsia="Times New Roman" w:hAnsi="Times New Roman"/>
                <w:sz w:val="24"/>
                <w:szCs w:val="24"/>
              </w:rPr>
              <w:t>Характеризует активность банков на рынке. Показатель меньше 1 позволяет оценивать рынок как развивающийся (для развитых стран показатель равен 1–3).</w:t>
            </w:r>
          </w:p>
        </w:tc>
      </w:tr>
    </w:tbl>
    <w:p w:rsidR="001D3535" w:rsidRDefault="001D3535" w:rsidP="00413AEB">
      <w:pPr>
        <w:spacing w:after="0" w:line="360" w:lineRule="auto"/>
        <w:jc w:val="both"/>
        <w:rPr>
          <w:rFonts w:ascii="Times New Roman" w:eastAsia="Times New Roman" w:hAnsi="Times New Roman" w:cs="Times New Roman"/>
          <w:sz w:val="28"/>
          <w:szCs w:val="28"/>
          <w:lang w:eastAsia="ru-RU"/>
        </w:rPr>
      </w:pPr>
    </w:p>
    <w:p w:rsidR="009B7369" w:rsidRPr="002830CA" w:rsidRDefault="009B7369" w:rsidP="009B7369">
      <w:pPr>
        <w:pStyle w:val="2"/>
        <w:spacing w:before="0" w:line="360" w:lineRule="auto"/>
        <w:jc w:val="both"/>
        <w:rPr>
          <w:rFonts w:ascii="Times New Roman" w:hAnsi="Times New Roman" w:cs="Times New Roman"/>
          <w:color w:val="auto"/>
          <w:sz w:val="28"/>
          <w:szCs w:val="28"/>
          <w:lang w:eastAsia="ru-RU"/>
        </w:rPr>
      </w:pPr>
      <w:bookmarkStart w:id="12" w:name="_Toc358601593"/>
      <w:bookmarkStart w:id="13" w:name="_Toc360362456"/>
      <w:r>
        <w:rPr>
          <w:rFonts w:ascii="Times New Roman" w:hAnsi="Times New Roman" w:cs="Times New Roman"/>
          <w:color w:val="auto"/>
          <w:sz w:val="28"/>
          <w:szCs w:val="28"/>
          <w:lang w:eastAsia="ru-RU"/>
        </w:rPr>
        <w:lastRenderedPageBreak/>
        <w:t>3</w:t>
      </w:r>
      <w:r w:rsidR="00E32EDB">
        <w:rPr>
          <w:rFonts w:ascii="Times New Roman" w:hAnsi="Times New Roman" w:cs="Times New Roman"/>
          <w:color w:val="auto"/>
          <w:sz w:val="28"/>
          <w:szCs w:val="28"/>
          <w:lang w:eastAsia="ru-RU"/>
        </w:rPr>
        <w:t>.2.</w:t>
      </w:r>
      <w:r>
        <w:rPr>
          <w:rFonts w:ascii="Times New Roman" w:hAnsi="Times New Roman" w:cs="Times New Roman"/>
          <w:color w:val="auto"/>
          <w:sz w:val="28"/>
          <w:szCs w:val="28"/>
          <w:lang w:eastAsia="ru-RU"/>
        </w:rPr>
        <w:t xml:space="preserve"> Анализ рынка пластиковых карт </w:t>
      </w:r>
      <w:r w:rsidR="00E32EDB">
        <w:rPr>
          <w:rFonts w:ascii="Times New Roman" w:hAnsi="Times New Roman" w:cs="Times New Roman"/>
          <w:color w:val="auto"/>
          <w:sz w:val="28"/>
          <w:szCs w:val="28"/>
          <w:lang w:eastAsia="ru-RU"/>
        </w:rPr>
        <w:t xml:space="preserve">ЗАО МКБ </w:t>
      </w:r>
      <w:r>
        <w:rPr>
          <w:rFonts w:ascii="Times New Roman" w:hAnsi="Times New Roman" w:cs="Times New Roman"/>
          <w:color w:val="auto"/>
          <w:sz w:val="28"/>
          <w:szCs w:val="28"/>
          <w:lang w:eastAsia="ru-RU"/>
        </w:rPr>
        <w:t>"</w:t>
      </w:r>
      <w:r w:rsidR="00E32EDB">
        <w:rPr>
          <w:rFonts w:ascii="Times New Roman" w:hAnsi="Times New Roman" w:cs="Times New Roman"/>
          <w:color w:val="auto"/>
          <w:sz w:val="28"/>
          <w:szCs w:val="28"/>
          <w:lang w:eastAsia="ru-RU"/>
        </w:rPr>
        <w:t>П</w:t>
      </w:r>
      <w:r>
        <w:rPr>
          <w:rFonts w:ascii="Times New Roman" w:hAnsi="Times New Roman" w:cs="Times New Roman"/>
          <w:color w:val="auto"/>
          <w:sz w:val="28"/>
          <w:szCs w:val="28"/>
          <w:lang w:eastAsia="ru-RU"/>
        </w:rPr>
        <w:t>риватбанк»</w:t>
      </w:r>
      <w:bookmarkEnd w:id="12"/>
      <w:r w:rsidR="00E32EDB">
        <w:rPr>
          <w:rFonts w:ascii="Times New Roman" w:hAnsi="Times New Roman" w:cs="Times New Roman"/>
          <w:color w:val="auto"/>
          <w:sz w:val="28"/>
          <w:szCs w:val="28"/>
          <w:lang w:eastAsia="ru-RU"/>
        </w:rPr>
        <w:t xml:space="preserve"> г.Иванов</w:t>
      </w:r>
      <w:bookmarkEnd w:id="13"/>
      <w:r w:rsidR="005F1DF9">
        <w:rPr>
          <w:rFonts w:ascii="Times New Roman" w:hAnsi="Times New Roman" w:cs="Times New Roman"/>
          <w:color w:val="auto"/>
          <w:sz w:val="28"/>
          <w:szCs w:val="28"/>
          <w:lang w:eastAsia="ru-RU"/>
        </w:rPr>
        <w:t>о</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Банк является активным участником крупнейших платежных систем: NCC/UnionCard, VISA International, MasterCard Worldwide, China UnionPay, Золотая Корона, Национальная система Платежных Карт (НСПК). Участие в каждой из них позволяет банку предоставлять широкий платежный сервис для клиентов, а гибкая тарифная политика обеспечивает индивидуальный подход к каждому клиенту с учетом его возможностей и потребностей в платежных услугах.</w:t>
      </w:r>
      <w:r w:rsidR="003C2DBB">
        <w:rPr>
          <w:rStyle w:val="af0"/>
          <w:rFonts w:ascii="Times New Roman" w:hAnsi="Times New Roman" w:cs="Times New Roman"/>
          <w:sz w:val="28"/>
          <w:szCs w:val="28"/>
          <w:lang w:eastAsia="ru-RU"/>
        </w:rPr>
        <w:footnoteReference w:id="8"/>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Для определения места исследуемого банка на рынке пластиковых карт, необходимо провести оценку объемов операций с пластиковыми картами в других региональных банках. </w:t>
      </w:r>
      <w:r>
        <w:rPr>
          <w:rFonts w:ascii="Times New Roman" w:hAnsi="Times New Roman" w:cs="Times New Roman"/>
          <w:sz w:val="28"/>
          <w:szCs w:val="28"/>
          <w:lang w:eastAsia="ru-RU"/>
        </w:rPr>
        <w:t>О</w:t>
      </w:r>
      <w:r w:rsidRPr="002830CA">
        <w:rPr>
          <w:rFonts w:ascii="Times New Roman" w:hAnsi="Times New Roman" w:cs="Times New Roman"/>
          <w:sz w:val="28"/>
          <w:szCs w:val="28"/>
          <w:lang w:eastAsia="ru-RU"/>
        </w:rPr>
        <w:t>ценивая регион, можно сказать, что на рынке банковских карт осуществляют свою деятельность как местные финансово-кредитные организации, так и филиалы банков федерального масштаба.</w:t>
      </w:r>
      <w:r w:rsidR="003C2DBB">
        <w:rPr>
          <w:rStyle w:val="af0"/>
          <w:rFonts w:ascii="Times New Roman" w:hAnsi="Times New Roman" w:cs="Times New Roman"/>
          <w:sz w:val="28"/>
          <w:szCs w:val="28"/>
          <w:lang w:eastAsia="ru-RU"/>
        </w:rPr>
        <w:footnoteReference w:id="9"/>
      </w:r>
      <w:r w:rsidRPr="002830CA">
        <w:rPr>
          <w:rFonts w:ascii="Times New Roman" w:hAnsi="Times New Roman" w:cs="Times New Roman"/>
          <w:sz w:val="28"/>
          <w:szCs w:val="28"/>
          <w:lang w:eastAsia="ru-RU"/>
        </w:rPr>
        <w:t xml:space="preserve"> На сегодняшний день в городе функционируют </w:t>
      </w:r>
      <w:r>
        <w:rPr>
          <w:rFonts w:ascii="Times New Roman" w:hAnsi="Times New Roman" w:cs="Times New Roman"/>
          <w:sz w:val="28"/>
          <w:szCs w:val="28"/>
          <w:lang w:eastAsia="ru-RU"/>
        </w:rPr>
        <w:t>много</w:t>
      </w:r>
      <w:r w:rsidRPr="002830CA">
        <w:rPr>
          <w:rFonts w:ascii="Times New Roman" w:hAnsi="Times New Roman" w:cs="Times New Roman"/>
          <w:sz w:val="28"/>
          <w:szCs w:val="28"/>
          <w:lang w:eastAsia="ru-RU"/>
        </w:rPr>
        <w:t xml:space="preserve"> самостоятельных банков, составляющих друг другу значительную конкуренцию, </w:t>
      </w:r>
      <w:r>
        <w:rPr>
          <w:rFonts w:ascii="Times New Roman" w:hAnsi="Times New Roman" w:cs="Times New Roman"/>
          <w:sz w:val="28"/>
          <w:szCs w:val="28"/>
          <w:lang w:eastAsia="ru-RU"/>
        </w:rPr>
        <w:t>возьмём для примера 6 из них</w:t>
      </w:r>
      <w:r w:rsidRPr="00283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Уралсиб</w:t>
      </w:r>
      <w:r w:rsidRPr="00283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ВТБ</w:t>
      </w:r>
      <w:r w:rsidRPr="00283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Альфа Банк</w:t>
      </w:r>
      <w:r w:rsidRPr="00283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Траст Банк</w:t>
      </w:r>
      <w:r w:rsidRPr="002830CA">
        <w:rPr>
          <w:rFonts w:ascii="Times New Roman" w:hAnsi="Times New Roman" w:cs="Times New Roman"/>
          <w:sz w:val="28"/>
          <w:szCs w:val="28"/>
          <w:lang w:eastAsia="ru-RU"/>
        </w:rPr>
        <w:t xml:space="preserve">, банк А. Помимо них в городе имеют свои филиалы </w:t>
      </w:r>
      <w:r>
        <w:rPr>
          <w:rFonts w:ascii="Times New Roman" w:hAnsi="Times New Roman" w:cs="Times New Roman"/>
          <w:sz w:val="28"/>
          <w:szCs w:val="28"/>
          <w:lang w:eastAsia="ru-RU"/>
        </w:rPr>
        <w:t>Сбербанк</w:t>
      </w:r>
      <w:r w:rsidRPr="002830C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ОТП Банк</w:t>
      </w:r>
      <w:r w:rsidRPr="002830CA">
        <w:rPr>
          <w:rFonts w:ascii="Times New Roman" w:hAnsi="Times New Roman" w:cs="Times New Roman"/>
          <w:sz w:val="28"/>
          <w:szCs w:val="28"/>
          <w:lang w:eastAsia="ru-RU"/>
        </w:rPr>
        <w:t>. Каждый из вышеперечисленных банков занимает свою нишу на рынке банковских карт, что формирует конкурентную среду.</w:t>
      </w:r>
      <w:r>
        <w:rPr>
          <w:rFonts w:ascii="Times New Roman" w:hAnsi="Times New Roman" w:cs="Times New Roman"/>
          <w:sz w:val="28"/>
          <w:szCs w:val="28"/>
          <w:lang w:eastAsia="ru-RU"/>
        </w:rPr>
        <w:t>(таб.</w:t>
      </w:r>
      <w:r w:rsidR="00E32EDB">
        <w:rPr>
          <w:rFonts w:ascii="Times New Roman" w:hAnsi="Times New Roman" w:cs="Times New Roman"/>
          <w:sz w:val="28"/>
          <w:szCs w:val="28"/>
          <w:lang w:eastAsia="ru-RU"/>
        </w:rPr>
        <w:t>3.2</w:t>
      </w:r>
      <w:r>
        <w:rPr>
          <w:rFonts w:ascii="Times New Roman" w:hAnsi="Times New Roman" w:cs="Times New Roman"/>
          <w:sz w:val="28"/>
          <w:szCs w:val="28"/>
          <w:lang w:eastAsia="ru-RU"/>
        </w:rPr>
        <w:t>)</w:t>
      </w:r>
    </w:p>
    <w:p w:rsidR="009B7369" w:rsidRPr="002830CA" w:rsidRDefault="009B7369" w:rsidP="009B7369">
      <w:pPr>
        <w:spacing w:after="0" w:line="360" w:lineRule="auto"/>
        <w:jc w:val="both"/>
        <w:rPr>
          <w:rFonts w:ascii="Times New Roman" w:hAnsi="Times New Roman" w:cs="Times New Roman"/>
          <w:sz w:val="28"/>
          <w:szCs w:val="28"/>
          <w:lang w:eastAsia="ru-RU"/>
        </w:rPr>
      </w:pPr>
      <w:r w:rsidRPr="002830CA">
        <w:rPr>
          <w:rFonts w:ascii="Times New Roman" w:hAnsi="Times New Roman" w:cs="Times New Roman"/>
          <w:bCs/>
          <w:sz w:val="28"/>
          <w:szCs w:val="28"/>
          <w:lang w:eastAsia="ru-RU"/>
        </w:rPr>
        <w:t xml:space="preserve">Таблица </w:t>
      </w:r>
      <w:r w:rsidR="00E32EDB">
        <w:rPr>
          <w:rFonts w:ascii="Times New Roman" w:hAnsi="Times New Roman" w:cs="Times New Roman"/>
          <w:bCs/>
          <w:sz w:val="28"/>
          <w:szCs w:val="28"/>
          <w:lang w:eastAsia="ru-RU"/>
        </w:rPr>
        <w:t>3.2</w:t>
      </w:r>
      <w:r w:rsidRPr="002830CA">
        <w:rPr>
          <w:rFonts w:ascii="Times New Roman" w:hAnsi="Times New Roman" w:cs="Times New Roman"/>
          <w:bCs/>
          <w:sz w:val="28"/>
          <w:szCs w:val="28"/>
          <w:lang w:eastAsia="ru-RU"/>
        </w:rPr>
        <w:t>. Объем эмиссии пластиковых карт банков города</w:t>
      </w:r>
    </w:p>
    <w:tbl>
      <w:tblPr>
        <w:tblStyle w:val="21"/>
        <w:tblW w:w="5000" w:type="pct"/>
        <w:tblLook w:val="04A0"/>
      </w:tblPr>
      <w:tblGrid>
        <w:gridCol w:w="981"/>
        <w:gridCol w:w="1730"/>
        <w:gridCol w:w="980"/>
        <w:gridCol w:w="980"/>
        <w:gridCol w:w="980"/>
        <w:gridCol w:w="1194"/>
        <w:gridCol w:w="766"/>
        <w:gridCol w:w="1194"/>
        <w:gridCol w:w="766"/>
      </w:tblGrid>
      <w:tr w:rsidR="009B7369" w:rsidRPr="002830CA" w:rsidTr="00E32EDB">
        <w:tc>
          <w:tcPr>
            <w:tcW w:w="960" w:type="dxa"/>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п/п</w:t>
            </w:r>
          </w:p>
        </w:tc>
        <w:tc>
          <w:tcPr>
            <w:tcW w:w="1695" w:type="dxa"/>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Название банка</w:t>
            </w:r>
          </w:p>
        </w:tc>
        <w:tc>
          <w:tcPr>
            <w:tcW w:w="2880" w:type="dxa"/>
            <w:gridSpan w:val="3"/>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Значение, шт.</w:t>
            </w:r>
          </w:p>
        </w:tc>
        <w:tc>
          <w:tcPr>
            <w:tcW w:w="3840" w:type="dxa"/>
            <w:gridSpan w:val="4"/>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Отклонение</w:t>
            </w:r>
          </w:p>
        </w:tc>
      </w:tr>
      <w:tr w:rsidR="009B7369" w:rsidRPr="002830CA" w:rsidTr="00E32EDB">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gridSpan w:val="3"/>
            <w:vMerge/>
            <w:hideMark/>
          </w:tcPr>
          <w:p w:rsidR="009B7369" w:rsidRPr="002830CA" w:rsidRDefault="009B7369" w:rsidP="00E32EDB">
            <w:pPr>
              <w:jc w:val="both"/>
              <w:rPr>
                <w:rFonts w:ascii="Times New Roman" w:hAnsi="Times New Roman"/>
                <w:b/>
                <w:bCs/>
                <w:sz w:val="24"/>
                <w:szCs w:val="24"/>
              </w:rPr>
            </w:pPr>
          </w:p>
        </w:tc>
        <w:tc>
          <w:tcPr>
            <w:tcW w:w="1920" w:type="dxa"/>
            <w:gridSpan w:val="2"/>
            <w:noWrap/>
            <w:hideMark/>
          </w:tcPr>
          <w:p w:rsidR="009B7369" w:rsidRPr="002830CA" w:rsidRDefault="009B7369" w:rsidP="00E32EDB">
            <w:pPr>
              <w:jc w:val="both"/>
              <w:rPr>
                <w:rFonts w:ascii="Times New Roman" w:hAnsi="Times New Roman"/>
                <w:b/>
                <w:bCs/>
                <w:sz w:val="24"/>
                <w:szCs w:val="24"/>
              </w:rPr>
            </w:pPr>
            <w:r>
              <w:rPr>
                <w:rFonts w:ascii="Times New Roman" w:hAnsi="Times New Roman"/>
                <w:b/>
                <w:bCs/>
                <w:sz w:val="24"/>
                <w:szCs w:val="24"/>
              </w:rPr>
              <w:t>2011</w:t>
            </w:r>
            <w:r w:rsidRPr="002830CA">
              <w:rPr>
                <w:rFonts w:ascii="Times New Roman" w:hAnsi="Times New Roman"/>
                <w:b/>
                <w:bCs/>
                <w:sz w:val="24"/>
                <w:szCs w:val="24"/>
              </w:rPr>
              <w:t>/</w:t>
            </w:r>
            <w:r>
              <w:rPr>
                <w:rFonts w:ascii="Times New Roman" w:hAnsi="Times New Roman"/>
                <w:b/>
                <w:bCs/>
                <w:sz w:val="24"/>
                <w:szCs w:val="24"/>
              </w:rPr>
              <w:t>2010</w:t>
            </w:r>
            <w:r w:rsidRPr="002830CA">
              <w:rPr>
                <w:rFonts w:ascii="Times New Roman" w:hAnsi="Times New Roman"/>
                <w:b/>
                <w:bCs/>
                <w:sz w:val="24"/>
                <w:szCs w:val="24"/>
              </w:rPr>
              <w:t xml:space="preserve"> гг.</w:t>
            </w:r>
          </w:p>
        </w:tc>
        <w:tc>
          <w:tcPr>
            <w:tcW w:w="1920" w:type="dxa"/>
            <w:gridSpan w:val="2"/>
            <w:noWrap/>
            <w:hideMark/>
          </w:tcPr>
          <w:p w:rsidR="009B7369" w:rsidRPr="002830CA" w:rsidRDefault="009B7369" w:rsidP="00E32EDB">
            <w:pPr>
              <w:jc w:val="both"/>
              <w:rPr>
                <w:rFonts w:ascii="Times New Roman" w:hAnsi="Times New Roman"/>
                <w:b/>
                <w:bCs/>
                <w:sz w:val="24"/>
                <w:szCs w:val="24"/>
              </w:rPr>
            </w:pPr>
            <w:r>
              <w:rPr>
                <w:rFonts w:ascii="Times New Roman" w:hAnsi="Times New Roman"/>
                <w:b/>
                <w:bCs/>
                <w:sz w:val="24"/>
                <w:szCs w:val="24"/>
              </w:rPr>
              <w:t>2012</w:t>
            </w:r>
            <w:r w:rsidRPr="002830CA">
              <w:rPr>
                <w:rFonts w:ascii="Times New Roman" w:hAnsi="Times New Roman"/>
                <w:b/>
                <w:bCs/>
                <w:sz w:val="24"/>
                <w:szCs w:val="24"/>
              </w:rPr>
              <w:t>/</w:t>
            </w:r>
            <w:r>
              <w:rPr>
                <w:rFonts w:ascii="Times New Roman" w:hAnsi="Times New Roman"/>
                <w:b/>
                <w:bCs/>
                <w:sz w:val="24"/>
                <w:szCs w:val="24"/>
              </w:rPr>
              <w:t>2011</w:t>
            </w:r>
            <w:r w:rsidRPr="002830CA">
              <w:rPr>
                <w:rFonts w:ascii="Times New Roman" w:hAnsi="Times New Roman"/>
                <w:b/>
                <w:bCs/>
                <w:sz w:val="24"/>
                <w:szCs w:val="24"/>
              </w:rPr>
              <w:t xml:space="preserve"> гг.</w:t>
            </w:r>
          </w:p>
        </w:tc>
      </w:tr>
      <w:tr w:rsidR="009B7369" w:rsidRPr="002830CA" w:rsidTr="00E32EDB">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vMerge/>
            <w:hideMark/>
          </w:tcPr>
          <w:p w:rsidR="009B7369" w:rsidRPr="002830CA" w:rsidRDefault="009B7369" w:rsidP="00E32EDB">
            <w:pPr>
              <w:jc w:val="both"/>
              <w:rPr>
                <w:rFonts w:ascii="Times New Roman" w:hAnsi="Times New Roman"/>
                <w:b/>
                <w:bCs/>
                <w:sz w:val="24"/>
                <w:szCs w:val="24"/>
              </w:rPr>
            </w:pPr>
          </w:p>
        </w:tc>
        <w:tc>
          <w:tcPr>
            <w:tcW w:w="960" w:type="dxa"/>
            <w:noWrap/>
            <w:hideMark/>
          </w:tcPr>
          <w:p w:rsidR="009B7369" w:rsidRPr="002830CA" w:rsidRDefault="009B7369" w:rsidP="00E32EDB">
            <w:pPr>
              <w:jc w:val="both"/>
              <w:rPr>
                <w:rFonts w:ascii="Times New Roman" w:hAnsi="Times New Roman"/>
                <w:b/>
                <w:bCs/>
                <w:sz w:val="24"/>
                <w:szCs w:val="24"/>
              </w:rPr>
            </w:pPr>
            <w:r>
              <w:rPr>
                <w:rFonts w:ascii="Times New Roman" w:hAnsi="Times New Roman"/>
                <w:b/>
                <w:bCs/>
                <w:sz w:val="24"/>
                <w:szCs w:val="24"/>
              </w:rPr>
              <w:t>2010</w:t>
            </w:r>
            <w:r w:rsidRPr="002830CA">
              <w:rPr>
                <w:rFonts w:ascii="Times New Roman" w:hAnsi="Times New Roman"/>
                <w:b/>
                <w:bCs/>
                <w:sz w:val="24"/>
                <w:szCs w:val="24"/>
              </w:rPr>
              <w:t xml:space="preserve"> г.</w:t>
            </w:r>
          </w:p>
        </w:tc>
        <w:tc>
          <w:tcPr>
            <w:tcW w:w="960" w:type="dxa"/>
            <w:noWrap/>
            <w:hideMark/>
          </w:tcPr>
          <w:p w:rsidR="009B7369" w:rsidRPr="002830CA" w:rsidRDefault="009B7369" w:rsidP="00E32EDB">
            <w:pPr>
              <w:jc w:val="both"/>
              <w:rPr>
                <w:rFonts w:ascii="Times New Roman" w:hAnsi="Times New Roman"/>
                <w:b/>
                <w:bCs/>
                <w:sz w:val="24"/>
                <w:szCs w:val="24"/>
              </w:rPr>
            </w:pPr>
            <w:r>
              <w:rPr>
                <w:rFonts w:ascii="Times New Roman" w:hAnsi="Times New Roman"/>
                <w:b/>
                <w:bCs/>
                <w:sz w:val="24"/>
                <w:szCs w:val="24"/>
              </w:rPr>
              <w:t>2011</w:t>
            </w:r>
            <w:r w:rsidRPr="002830CA">
              <w:rPr>
                <w:rFonts w:ascii="Times New Roman" w:hAnsi="Times New Roman"/>
                <w:b/>
                <w:bCs/>
                <w:sz w:val="24"/>
                <w:szCs w:val="24"/>
              </w:rPr>
              <w:t xml:space="preserve"> г.</w:t>
            </w:r>
          </w:p>
        </w:tc>
        <w:tc>
          <w:tcPr>
            <w:tcW w:w="960" w:type="dxa"/>
            <w:noWrap/>
            <w:hideMark/>
          </w:tcPr>
          <w:p w:rsidR="009B7369" w:rsidRPr="002830CA" w:rsidRDefault="009B7369" w:rsidP="00E32EDB">
            <w:pPr>
              <w:jc w:val="both"/>
              <w:rPr>
                <w:rFonts w:ascii="Times New Roman" w:hAnsi="Times New Roman"/>
                <w:b/>
                <w:bCs/>
                <w:sz w:val="24"/>
                <w:szCs w:val="24"/>
              </w:rPr>
            </w:pPr>
            <w:r>
              <w:rPr>
                <w:rFonts w:ascii="Times New Roman" w:hAnsi="Times New Roman"/>
                <w:b/>
                <w:bCs/>
                <w:sz w:val="24"/>
                <w:szCs w:val="24"/>
              </w:rPr>
              <w:t>2012</w:t>
            </w:r>
            <w:r w:rsidRPr="002830CA">
              <w:rPr>
                <w:rFonts w:ascii="Times New Roman" w:hAnsi="Times New Roman"/>
                <w:b/>
                <w:bCs/>
                <w:sz w:val="24"/>
                <w:szCs w:val="24"/>
              </w:rPr>
              <w:t xml:space="preserve"> г.</w:t>
            </w:r>
          </w:p>
        </w:tc>
        <w:tc>
          <w:tcPr>
            <w:tcW w:w="117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w:t>
            </w:r>
          </w:p>
        </w:tc>
        <w:tc>
          <w:tcPr>
            <w:tcW w:w="75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w:t>
            </w:r>
          </w:p>
        </w:tc>
        <w:tc>
          <w:tcPr>
            <w:tcW w:w="117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w:t>
            </w:r>
          </w:p>
        </w:tc>
        <w:tc>
          <w:tcPr>
            <w:tcW w:w="75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Сбербанк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180005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190563</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205301</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10558</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5,9</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14738</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7,7</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ВТБ</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83560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100120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110216</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16560</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19,8</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10096</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10,1</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ПриватБанк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55503</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55035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63767</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-468</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-0,8</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8732</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15,9</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Альфа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37504</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37262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39257</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-242</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-0,6</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1995</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5,4</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ОТП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23570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25889</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30544</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2319</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9,8</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4655</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18,0</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Траст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26137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25007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29843</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-1130</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-4,3</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4836</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19,3</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7</w:t>
            </w:r>
          </w:p>
        </w:tc>
        <w:tc>
          <w:tcPr>
            <w:tcW w:w="1695" w:type="dxa"/>
            <w:noWrap/>
            <w:hideMark/>
          </w:tcPr>
          <w:p w:rsidR="009B7369" w:rsidRPr="002830CA" w:rsidRDefault="009B7369" w:rsidP="00E32EDB">
            <w:pPr>
              <w:jc w:val="both"/>
              <w:rPr>
                <w:rFonts w:ascii="Times New Roman" w:hAnsi="Times New Roman"/>
                <w:sz w:val="24"/>
                <w:szCs w:val="24"/>
              </w:rPr>
            </w:pPr>
            <w:r>
              <w:rPr>
                <w:rFonts w:ascii="Times New Roman" w:hAnsi="Times New Roman"/>
                <w:sz w:val="24"/>
                <w:szCs w:val="24"/>
              </w:rPr>
              <w:t>Уралсиб</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26585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26597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27172</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12</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0,0</w:t>
            </w:r>
          </w:p>
        </w:tc>
        <w:tc>
          <w:tcPr>
            <w:tcW w:w="117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575</w:t>
            </w:r>
          </w:p>
        </w:tc>
        <w:tc>
          <w:tcPr>
            <w:tcW w:w="75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2,2</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5F1DF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lastRenderedPageBreak/>
        <w:t>Из таблицы</w:t>
      </w:r>
      <w:r>
        <w:rPr>
          <w:rFonts w:ascii="Times New Roman" w:hAnsi="Times New Roman" w:cs="Times New Roman"/>
          <w:sz w:val="28"/>
          <w:szCs w:val="28"/>
          <w:lang w:eastAsia="ru-RU"/>
        </w:rPr>
        <w:t xml:space="preserve"> </w:t>
      </w:r>
      <w:r w:rsidR="00E32EDB">
        <w:rPr>
          <w:rFonts w:ascii="Times New Roman" w:hAnsi="Times New Roman" w:cs="Times New Roman"/>
          <w:sz w:val="28"/>
          <w:szCs w:val="28"/>
          <w:lang w:eastAsia="ru-RU"/>
        </w:rPr>
        <w:t>3.2</w:t>
      </w:r>
      <w:r w:rsidRPr="002830CA">
        <w:rPr>
          <w:rFonts w:ascii="Times New Roman" w:hAnsi="Times New Roman" w:cs="Times New Roman"/>
          <w:sz w:val="28"/>
          <w:szCs w:val="28"/>
          <w:lang w:eastAsia="ru-RU"/>
        </w:rPr>
        <w:t xml:space="preserve"> видно, что объем эмиссии пластиковых карт практически всех банков увеличивается, что можно объяснить растущим спросом на данный банковский продукт.</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эмиссия пластиковых карт </w:t>
      </w:r>
      <w:r>
        <w:rPr>
          <w:rFonts w:ascii="Times New Roman" w:hAnsi="Times New Roman" w:cs="Times New Roman"/>
          <w:sz w:val="28"/>
          <w:szCs w:val="28"/>
          <w:lang w:eastAsia="ru-RU"/>
        </w:rPr>
        <w:t>МоскомПриватБанка</w:t>
      </w:r>
      <w:r w:rsidRPr="002830CA">
        <w:rPr>
          <w:rFonts w:ascii="Times New Roman" w:hAnsi="Times New Roman" w:cs="Times New Roman"/>
          <w:sz w:val="28"/>
          <w:szCs w:val="28"/>
          <w:lang w:eastAsia="ru-RU"/>
        </w:rPr>
        <w:t xml:space="preserve"> составила 55503 шт.,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она снизилась на 0,8 %, а к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 возросла на 15,9% или 8732 шт. и составила 63767 карт. В свою очередь, такие банки, как </w:t>
      </w:r>
      <w:r>
        <w:rPr>
          <w:rFonts w:ascii="Times New Roman" w:hAnsi="Times New Roman" w:cs="Times New Roman"/>
          <w:sz w:val="28"/>
          <w:szCs w:val="28"/>
          <w:lang w:eastAsia="ru-RU"/>
        </w:rPr>
        <w:t>Сбербанк</w:t>
      </w:r>
      <w:r w:rsidRPr="002830CA">
        <w:rPr>
          <w:rFonts w:ascii="Times New Roman" w:hAnsi="Times New Roman" w:cs="Times New Roman"/>
          <w:sz w:val="28"/>
          <w:szCs w:val="28"/>
          <w:lang w:eastAsia="ru-RU"/>
        </w:rPr>
        <w:t xml:space="preserve"> и </w:t>
      </w:r>
      <w:r>
        <w:rPr>
          <w:rFonts w:ascii="Times New Roman" w:hAnsi="Times New Roman" w:cs="Times New Roman"/>
          <w:sz w:val="28"/>
          <w:szCs w:val="28"/>
          <w:lang w:eastAsia="ru-RU"/>
        </w:rPr>
        <w:t>ВТБ</w:t>
      </w:r>
      <w:r w:rsidRPr="002830CA">
        <w:rPr>
          <w:rFonts w:ascii="Times New Roman" w:hAnsi="Times New Roman" w:cs="Times New Roman"/>
          <w:sz w:val="28"/>
          <w:szCs w:val="28"/>
          <w:lang w:eastAsia="ru-RU"/>
        </w:rPr>
        <w:t xml:space="preserve"> обладают значительно большими объемами эмиссии благодаря проведению активной политики в области маркетинга и расширению спектра продуктов и услуг, касающихся банковских карт. Так, в отличие от </w:t>
      </w:r>
      <w:r>
        <w:rPr>
          <w:rFonts w:ascii="Times New Roman" w:hAnsi="Times New Roman" w:cs="Times New Roman"/>
          <w:sz w:val="28"/>
          <w:szCs w:val="28"/>
          <w:lang w:eastAsia="ru-RU"/>
        </w:rPr>
        <w:t>МоскомПриватБанка</w:t>
      </w:r>
      <w:r w:rsidRPr="002830CA">
        <w:rPr>
          <w:rFonts w:ascii="Times New Roman" w:hAnsi="Times New Roman" w:cs="Times New Roman"/>
          <w:sz w:val="28"/>
          <w:szCs w:val="28"/>
          <w:lang w:eastAsia="ru-RU"/>
        </w:rPr>
        <w:t xml:space="preserve">, лидирующие банки выпускают пенсионные карты, которые пользуются большим спросом среди населения, и кроме этого </w:t>
      </w:r>
      <w:r>
        <w:rPr>
          <w:rFonts w:ascii="Times New Roman" w:hAnsi="Times New Roman" w:cs="Times New Roman"/>
          <w:sz w:val="28"/>
          <w:szCs w:val="28"/>
          <w:lang w:eastAsia="ru-RU"/>
        </w:rPr>
        <w:t>Сбербанк и Альфа Банк п</w:t>
      </w:r>
      <w:r w:rsidRPr="002830CA">
        <w:rPr>
          <w:rFonts w:ascii="Times New Roman" w:hAnsi="Times New Roman" w:cs="Times New Roman"/>
          <w:sz w:val="28"/>
          <w:szCs w:val="28"/>
          <w:lang w:eastAsia="ru-RU"/>
        </w:rPr>
        <w:t>редлагает своим клиентам расчетные индивидуальные карты для детей и дисконтную программу по картам Visa.</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Еще одним критерием оценки пластикового бизнеса в банке является развитость эквайринговой сети, то есть создание банком инфраструктуры, включающей банкоматы и пос-терминалы, что позволяет обслуживать банку как свои карты, так и карты сторонних банков за определенную плату.</w:t>
      </w:r>
      <w:r w:rsidR="003C2DBB">
        <w:rPr>
          <w:rStyle w:val="af0"/>
          <w:rFonts w:ascii="Times New Roman" w:hAnsi="Times New Roman" w:cs="Times New Roman"/>
          <w:sz w:val="28"/>
          <w:szCs w:val="28"/>
          <w:lang w:eastAsia="ru-RU"/>
        </w:rPr>
        <w:footnoteReference w:id="10"/>
      </w:r>
      <w:r w:rsidRPr="002830CA">
        <w:rPr>
          <w:rFonts w:ascii="Times New Roman" w:hAnsi="Times New Roman" w:cs="Times New Roman"/>
          <w:sz w:val="28"/>
          <w:szCs w:val="28"/>
          <w:lang w:eastAsia="ru-RU"/>
        </w:rPr>
        <w:t xml:space="preserve"> Для определения места банка на рынке следует рассмотреть количественную сторону развития инфраструктуры (табл. </w:t>
      </w:r>
      <w:r w:rsidR="00E32EDB">
        <w:rPr>
          <w:rFonts w:ascii="Times New Roman" w:hAnsi="Times New Roman" w:cs="Times New Roman"/>
          <w:sz w:val="28"/>
          <w:szCs w:val="28"/>
          <w:lang w:eastAsia="ru-RU"/>
        </w:rPr>
        <w:t>3.3</w:t>
      </w:r>
      <w:r w:rsidRPr="002830CA">
        <w:rPr>
          <w:rFonts w:ascii="Times New Roman" w:hAnsi="Times New Roman" w:cs="Times New Roman"/>
          <w:sz w:val="28"/>
          <w:szCs w:val="28"/>
          <w:lang w:eastAsia="ru-RU"/>
        </w:rPr>
        <w:t>).</w:t>
      </w:r>
    </w:p>
    <w:p w:rsidR="009B7369" w:rsidRPr="002830CA" w:rsidRDefault="009B7369" w:rsidP="009B7369">
      <w:pPr>
        <w:spacing w:after="0" w:line="360" w:lineRule="auto"/>
        <w:jc w:val="both"/>
        <w:rPr>
          <w:rFonts w:ascii="Times New Roman" w:hAnsi="Times New Roman" w:cs="Times New Roman"/>
          <w:sz w:val="28"/>
          <w:szCs w:val="28"/>
          <w:lang w:eastAsia="ru-RU"/>
        </w:rPr>
      </w:pPr>
      <w:r w:rsidRPr="002830CA">
        <w:rPr>
          <w:rFonts w:ascii="Times New Roman" w:hAnsi="Times New Roman" w:cs="Times New Roman"/>
          <w:bCs/>
          <w:sz w:val="28"/>
          <w:szCs w:val="28"/>
          <w:lang w:eastAsia="ru-RU"/>
        </w:rPr>
        <w:t xml:space="preserve">Таблица </w:t>
      </w:r>
      <w:r w:rsidR="00E32EDB">
        <w:rPr>
          <w:rFonts w:ascii="Times New Roman" w:hAnsi="Times New Roman" w:cs="Times New Roman"/>
          <w:bCs/>
          <w:sz w:val="28"/>
          <w:szCs w:val="28"/>
          <w:lang w:eastAsia="ru-RU"/>
        </w:rPr>
        <w:t>3.3</w:t>
      </w:r>
      <w:r w:rsidRPr="002830CA">
        <w:rPr>
          <w:rFonts w:ascii="Times New Roman" w:hAnsi="Times New Roman" w:cs="Times New Roman"/>
          <w:bCs/>
          <w:sz w:val="28"/>
          <w:szCs w:val="28"/>
          <w:lang w:eastAsia="ru-RU"/>
        </w:rPr>
        <w:t>. Количество установленных банкоматов в 2010–2012 годах</w:t>
      </w:r>
    </w:p>
    <w:tbl>
      <w:tblPr>
        <w:tblStyle w:val="21"/>
        <w:tblW w:w="5000" w:type="pct"/>
        <w:tblLook w:val="04A0"/>
      </w:tblPr>
      <w:tblGrid>
        <w:gridCol w:w="1007"/>
        <w:gridCol w:w="1522"/>
        <w:gridCol w:w="1006"/>
        <w:gridCol w:w="1006"/>
        <w:gridCol w:w="1006"/>
        <w:gridCol w:w="1006"/>
        <w:gridCol w:w="1006"/>
        <w:gridCol w:w="1006"/>
        <w:gridCol w:w="1006"/>
      </w:tblGrid>
      <w:tr w:rsidR="009B7369" w:rsidRPr="002830CA" w:rsidTr="00E32EDB">
        <w:tc>
          <w:tcPr>
            <w:tcW w:w="960" w:type="dxa"/>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п/п</w:t>
            </w:r>
          </w:p>
        </w:tc>
        <w:tc>
          <w:tcPr>
            <w:tcW w:w="960" w:type="dxa"/>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Название банка</w:t>
            </w:r>
          </w:p>
        </w:tc>
        <w:tc>
          <w:tcPr>
            <w:tcW w:w="960" w:type="dxa"/>
            <w:gridSpan w:val="3"/>
            <w:vMerge w:val="restart"/>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Значение, шт.</w:t>
            </w:r>
          </w:p>
        </w:tc>
        <w:tc>
          <w:tcPr>
            <w:tcW w:w="960" w:type="dxa"/>
            <w:gridSpan w:val="4"/>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Отклонение</w:t>
            </w:r>
          </w:p>
        </w:tc>
      </w:tr>
      <w:tr w:rsidR="009B7369" w:rsidRPr="002830CA" w:rsidTr="00E32EDB">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gridSpan w:val="3"/>
            <w:vMerge/>
            <w:hideMark/>
          </w:tcPr>
          <w:p w:rsidR="009B7369" w:rsidRPr="002830CA" w:rsidRDefault="009B7369" w:rsidP="00E32EDB">
            <w:pPr>
              <w:jc w:val="both"/>
              <w:rPr>
                <w:rFonts w:ascii="Times New Roman" w:hAnsi="Times New Roman"/>
                <w:b/>
                <w:bCs/>
                <w:sz w:val="24"/>
                <w:szCs w:val="24"/>
              </w:rPr>
            </w:pPr>
          </w:p>
        </w:tc>
        <w:tc>
          <w:tcPr>
            <w:tcW w:w="960" w:type="dxa"/>
            <w:gridSpan w:val="2"/>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2011/2010 гг.</w:t>
            </w:r>
          </w:p>
        </w:tc>
        <w:tc>
          <w:tcPr>
            <w:tcW w:w="960" w:type="dxa"/>
            <w:gridSpan w:val="2"/>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2012/2011 гг.</w:t>
            </w:r>
          </w:p>
        </w:tc>
      </w:tr>
      <w:tr w:rsidR="009B7369" w:rsidRPr="002830CA" w:rsidTr="00E32EDB">
        <w:tc>
          <w:tcPr>
            <w:tcW w:w="0" w:type="auto"/>
            <w:vMerge/>
            <w:hideMark/>
          </w:tcPr>
          <w:p w:rsidR="009B7369" w:rsidRPr="002830CA" w:rsidRDefault="009B7369" w:rsidP="00E32EDB">
            <w:pPr>
              <w:jc w:val="both"/>
              <w:rPr>
                <w:rFonts w:ascii="Times New Roman" w:hAnsi="Times New Roman"/>
                <w:b/>
                <w:bCs/>
                <w:sz w:val="24"/>
                <w:szCs w:val="24"/>
              </w:rPr>
            </w:pPr>
          </w:p>
        </w:tc>
        <w:tc>
          <w:tcPr>
            <w:tcW w:w="0" w:type="auto"/>
            <w:vMerge/>
            <w:hideMark/>
          </w:tcPr>
          <w:p w:rsidR="009B7369" w:rsidRPr="002830CA" w:rsidRDefault="009B7369" w:rsidP="00E32EDB">
            <w:pPr>
              <w:jc w:val="both"/>
              <w:rPr>
                <w:rFonts w:ascii="Times New Roman" w:hAnsi="Times New Roman"/>
                <w:b/>
                <w:bCs/>
                <w:sz w:val="24"/>
                <w:szCs w:val="24"/>
              </w:rPr>
            </w:pP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2010 г.</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2011 г.</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2012 г.</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 (-)</w:t>
            </w:r>
          </w:p>
        </w:tc>
        <w:tc>
          <w:tcPr>
            <w:tcW w:w="960" w:type="dxa"/>
            <w:noWrap/>
            <w:hideMark/>
          </w:tcPr>
          <w:p w:rsidR="009B7369" w:rsidRPr="002830CA" w:rsidRDefault="009B7369" w:rsidP="00E32EDB">
            <w:pPr>
              <w:jc w:val="both"/>
              <w:rPr>
                <w:rFonts w:ascii="Times New Roman" w:hAnsi="Times New Roman"/>
                <w:b/>
                <w:bCs/>
                <w:sz w:val="24"/>
                <w:szCs w:val="24"/>
              </w:rPr>
            </w:pPr>
            <w:r w:rsidRPr="002830CA">
              <w:rPr>
                <w:rFonts w:ascii="Times New Roman" w:hAnsi="Times New Roman"/>
                <w:b/>
                <w:bCs/>
                <w:sz w:val="24"/>
                <w:szCs w:val="24"/>
              </w:rPr>
              <w:t>%</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Сбербанк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130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131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129</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0,8</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-1,5</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ВТБ</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287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301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317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14</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4,9</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16</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5,3</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ПриватБанк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122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136</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148</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14</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11,5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8,8</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4</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Альфа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29</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29</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0,0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6,9</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ОТП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58</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1,8</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3,4</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Траст Банк</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3</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9,4</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5,7</w:t>
            </w:r>
          </w:p>
        </w:tc>
      </w:tr>
      <w:tr w:rsidR="009B7369" w:rsidRPr="002830CA" w:rsidTr="00E32EDB">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7</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Уралсиб</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78</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80</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85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2,6</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5</w:t>
            </w:r>
          </w:p>
        </w:tc>
        <w:tc>
          <w:tcPr>
            <w:tcW w:w="960" w:type="dxa"/>
            <w:noWrap/>
            <w:hideMark/>
          </w:tcPr>
          <w:p w:rsidR="009B7369" w:rsidRPr="002830CA" w:rsidRDefault="009B7369" w:rsidP="00E32EDB">
            <w:pPr>
              <w:jc w:val="both"/>
              <w:rPr>
                <w:rFonts w:ascii="Times New Roman" w:hAnsi="Times New Roman"/>
                <w:sz w:val="24"/>
                <w:szCs w:val="24"/>
              </w:rPr>
            </w:pPr>
            <w:r w:rsidRPr="002830CA">
              <w:rPr>
                <w:rFonts w:ascii="Times New Roman" w:hAnsi="Times New Roman"/>
                <w:sz w:val="24"/>
                <w:szCs w:val="24"/>
              </w:rPr>
              <w:t>6,3</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Из таблицы </w:t>
      </w:r>
      <w:r w:rsidR="00E32EDB">
        <w:rPr>
          <w:rFonts w:ascii="Times New Roman" w:hAnsi="Times New Roman" w:cs="Times New Roman"/>
          <w:sz w:val="28"/>
          <w:szCs w:val="28"/>
          <w:lang w:eastAsia="ru-RU"/>
        </w:rPr>
        <w:t>3.3</w:t>
      </w:r>
      <w:r w:rsidRPr="002830CA">
        <w:rPr>
          <w:rFonts w:ascii="Times New Roman" w:hAnsi="Times New Roman" w:cs="Times New Roman"/>
          <w:sz w:val="28"/>
          <w:szCs w:val="28"/>
          <w:lang w:eastAsia="ru-RU"/>
        </w:rPr>
        <w:t xml:space="preserve"> можно увидеть, что </w:t>
      </w:r>
      <w:r>
        <w:rPr>
          <w:rFonts w:ascii="Times New Roman" w:hAnsi="Times New Roman" w:cs="Times New Roman"/>
          <w:sz w:val="28"/>
          <w:szCs w:val="28"/>
          <w:lang w:eastAsia="ru-RU"/>
        </w:rPr>
        <w:t>ПриватБанк в</w:t>
      </w:r>
      <w:r w:rsidRPr="002830CA">
        <w:rPr>
          <w:rFonts w:ascii="Times New Roman" w:hAnsi="Times New Roman" w:cs="Times New Roman"/>
          <w:sz w:val="28"/>
          <w:szCs w:val="28"/>
          <w:lang w:eastAsia="ru-RU"/>
        </w:rPr>
        <w:t xml:space="preserve"> рассматриваемом периоде обладает не самым большим количеством банкоматов, однако при </w:t>
      </w:r>
      <w:r w:rsidRPr="002830CA">
        <w:rPr>
          <w:rFonts w:ascii="Times New Roman" w:hAnsi="Times New Roman" w:cs="Times New Roman"/>
          <w:sz w:val="28"/>
          <w:szCs w:val="28"/>
          <w:lang w:eastAsia="ru-RU"/>
        </w:rPr>
        <w:lastRenderedPageBreak/>
        <w:t xml:space="preserve">этом имеет достаточно высокий темп роста по их установке. Так, на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 было установлено 122 устройства,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их количество увеличилось на 11,5% или 14 единиц, а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на 8,8% или 12 единиц. Быстрый рост числа банкоматов обусловлен возрастанием эмиссии карточных продуктов банка в связи с ростом спроса на них, а также объективной необходимостью расширения сети обслуживания пластиковых банковских карт. Количество банкоматов, установленных банком, является важным фактором увеличения оборота по банковским картам, однако рост данного показателя окажет безусловное влияние на рост объемов снятия денежной наличности с карт.</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Исследования деятельности банка с пластиковыми картами следует начинать с доли средств, привлеченных на счета пластиковых карт в общем объеме привлечений до востребования, а также рассмотреть динамику поступающих объемов денежных средств.</w:t>
      </w:r>
      <w:r w:rsidR="003C2DBB">
        <w:rPr>
          <w:rStyle w:val="af0"/>
          <w:rFonts w:ascii="Times New Roman" w:hAnsi="Times New Roman" w:cs="Times New Roman"/>
          <w:sz w:val="28"/>
          <w:szCs w:val="28"/>
          <w:lang w:eastAsia="ru-RU"/>
        </w:rPr>
        <w:footnoteReference w:id="11"/>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Для учета денежных средств клиентов, поступающих на пластиковые карты, </w:t>
      </w:r>
      <w:r>
        <w:rPr>
          <w:rFonts w:ascii="Times New Roman" w:hAnsi="Times New Roman" w:cs="Times New Roman"/>
          <w:sz w:val="28"/>
          <w:szCs w:val="28"/>
          <w:lang w:eastAsia="ru-RU"/>
        </w:rPr>
        <w:t>о</w:t>
      </w:r>
      <w:r w:rsidRPr="002830CA">
        <w:rPr>
          <w:rFonts w:ascii="Times New Roman" w:hAnsi="Times New Roman" w:cs="Times New Roman"/>
          <w:sz w:val="28"/>
          <w:szCs w:val="28"/>
          <w:lang w:eastAsia="ru-RU"/>
        </w:rPr>
        <w:t>ткрывает счет «Счета физических лиц» (40817).</w:t>
      </w:r>
      <w:r w:rsidR="003C2DBB">
        <w:rPr>
          <w:rStyle w:val="af0"/>
          <w:rFonts w:ascii="Times New Roman" w:hAnsi="Times New Roman" w:cs="Times New Roman"/>
          <w:sz w:val="28"/>
          <w:szCs w:val="28"/>
          <w:lang w:eastAsia="ru-RU"/>
        </w:rPr>
        <w:footnoteReference w:id="12"/>
      </w:r>
      <w:r w:rsidRPr="002830CA">
        <w:rPr>
          <w:rFonts w:ascii="Times New Roman" w:hAnsi="Times New Roman" w:cs="Times New Roman"/>
          <w:sz w:val="28"/>
          <w:szCs w:val="28"/>
          <w:lang w:eastAsia="ru-RU"/>
        </w:rPr>
        <w:t xml:space="preserve"> Проведем анализ объемов денежных ресурсов клиентов банка по счетам пластиковых карт (табл. </w:t>
      </w:r>
      <w:r w:rsidR="00E32EDB">
        <w:rPr>
          <w:rFonts w:ascii="Times New Roman" w:hAnsi="Times New Roman" w:cs="Times New Roman"/>
          <w:sz w:val="28"/>
          <w:szCs w:val="28"/>
          <w:lang w:eastAsia="ru-RU"/>
        </w:rPr>
        <w:t>3.4</w:t>
      </w:r>
      <w:r w:rsidRPr="002830CA">
        <w:rPr>
          <w:rFonts w:ascii="Times New Roman" w:hAnsi="Times New Roman" w:cs="Times New Roman"/>
          <w:sz w:val="28"/>
          <w:szCs w:val="28"/>
          <w:lang w:eastAsia="ru-RU"/>
        </w:rPr>
        <w:t>).</w:t>
      </w:r>
    </w:p>
    <w:p w:rsidR="009B7369" w:rsidRPr="0028551C" w:rsidRDefault="009B7369" w:rsidP="009B7369">
      <w:pPr>
        <w:spacing w:after="0" w:line="360" w:lineRule="auto"/>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t xml:space="preserve">Таблица </w:t>
      </w:r>
      <w:r w:rsidR="00E32EDB">
        <w:rPr>
          <w:rFonts w:ascii="Times New Roman" w:hAnsi="Times New Roman" w:cs="Times New Roman"/>
          <w:bCs/>
          <w:sz w:val="28"/>
          <w:szCs w:val="28"/>
          <w:lang w:eastAsia="ru-RU"/>
        </w:rPr>
        <w:t>3.4</w:t>
      </w:r>
      <w:r w:rsidRPr="0028551C">
        <w:rPr>
          <w:rFonts w:ascii="Times New Roman" w:hAnsi="Times New Roman" w:cs="Times New Roman"/>
          <w:bCs/>
          <w:sz w:val="28"/>
          <w:szCs w:val="28"/>
          <w:lang w:eastAsia="ru-RU"/>
        </w:rPr>
        <w:t>. Динамика денежных средств, привлеченных на пластиковые карты физических лиц</w:t>
      </w:r>
    </w:p>
    <w:tbl>
      <w:tblPr>
        <w:tblStyle w:val="21"/>
        <w:tblW w:w="5000" w:type="pct"/>
        <w:tblLook w:val="04A0"/>
      </w:tblPr>
      <w:tblGrid>
        <w:gridCol w:w="2479"/>
        <w:gridCol w:w="2364"/>
        <w:gridCol w:w="2364"/>
        <w:gridCol w:w="2364"/>
      </w:tblGrid>
      <w:tr w:rsidR="009B7369" w:rsidRPr="0028551C" w:rsidTr="00E32EDB">
        <w:tc>
          <w:tcPr>
            <w:tcW w:w="2265"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01.01.20</w:t>
            </w:r>
            <w:r>
              <w:rPr>
                <w:rFonts w:ascii="Times New Roman" w:hAnsi="Times New Roman"/>
                <w:b/>
                <w:bCs/>
                <w:sz w:val="24"/>
                <w:szCs w:val="24"/>
              </w:rPr>
              <w:t>12</w:t>
            </w:r>
          </w:p>
        </w:tc>
        <w:tc>
          <w:tcPr>
            <w:tcW w:w="216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01.04.20</w:t>
            </w:r>
            <w:r>
              <w:rPr>
                <w:rFonts w:ascii="Times New Roman" w:hAnsi="Times New Roman"/>
                <w:b/>
                <w:bCs/>
                <w:sz w:val="24"/>
                <w:szCs w:val="24"/>
              </w:rPr>
              <w:t>12</w:t>
            </w:r>
          </w:p>
        </w:tc>
        <w:tc>
          <w:tcPr>
            <w:tcW w:w="216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01.07.20</w:t>
            </w:r>
            <w:r>
              <w:rPr>
                <w:rFonts w:ascii="Times New Roman" w:hAnsi="Times New Roman"/>
                <w:b/>
                <w:bCs/>
                <w:sz w:val="24"/>
                <w:szCs w:val="24"/>
              </w:rPr>
              <w:t>12</w:t>
            </w:r>
          </w:p>
        </w:tc>
        <w:tc>
          <w:tcPr>
            <w:tcW w:w="216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01.12.20</w:t>
            </w:r>
            <w:r>
              <w:rPr>
                <w:rFonts w:ascii="Times New Roman" w:hAnsi="Times New Roman"/>
                <w:b/>
                <w:bCs/>
                <w:sz w:val="24"/>
                <w:szCs w:val="24"/>
              </w:rPr>
              <w:t>12</w:t>
            </w:r>
          </w:p>
        </w:tc>
      </w:tr>
      <w:tr w:rsidR="009B7369" w:rsidRPr="0028551C" w:rsidTr="00E32EDB">
        <w:tc>
          <w:tcPr>
            <w:tcW w:w="226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9 821 тыс. руб.</w:t>
            </w:r>
          </w:p>
        </w:tc>
        <w:tc>
          <w:tcPr>
            <w:tcW w:w="216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38 533 тыс. руб.</w:t>
            </w:r>
          </w:p>
        </w:tc>
        <w:tc>
          <w:tcPr>
            <w:tcW w:w="216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19 079 тыс. руб.</w:t>
            </w:r>
          </w:p>
        </w:tc>
        <w:tc>
          <w:tcPr>
            <w:tcW w:w="216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6 142 тыс. руб.</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Как показал анализ представленных данных, наибольший объем денежных ресурсов приходился на апрель 20</w:t>
      </w:r>
      <w:r>
        <w:rPr>
          <w:rFonts w:ascii="Times New Roman" w:hAnsi="Times New Roman" w:cs="Times New Roman"/>
          <w:sz w:val="28"/>
          <w:szCs w:val="28"/>
          <w:lang w:eastAsia="ru-RU"/>
        </w:rPr>
        <w:t>12</w:t>
      </w:r>
      <w:r w:rsidRPr="002830CA">
        <w:rPr>
          <w:rFonts w:ascii="Times New Roman" w:hAnsi="Times New Roman" w:cs="Times New Roman"/>
          <w:sz w:val="28"/>
          <w:szCs w:val="28"/>
          <w:lang w:eastAsia="ru-RU"/>
        </w:rPr>
        <w:t xml:space="preserve"> года, при этом минимальный объем ресурсов пришелся на декабрь 20</w:t>
      </w:r>
      <w:r>
        <w:rPr>
          <w:rFonts w:ascii="Times New Roman" w:hAnsi="Times New Roman" w:cs="Times New Roman"/>
          <w:sz w:val="28"/>
          <w:szCs w:val="28"/>
          <w:lang w:eastAsia="ru-RU"/>
        </w:rPr>
        <w:t>12</w:t>
      </w:r>
      <w:r w:rsidRPr="002830CA">
        <w:rPr>
          <w:rFonts w:ascii="Times New Roman" w:hAnsi="Times New Roman" w:cs="Times New Roman"/>
          <w:sz w:val="28"/>
          <w:szCs w:val="28"/>
          <w:lang w:eastAsia="ru-RU"/>
        </w:rPr>
        <w:t xml:space="preserve"> года. Данный факт объясняется тем, что апрель традиционно считается периодом активного сбережения физическими лицами средств на предстоящие летние отпуска. В то время как декабрь – это предновогодний период, сопровождающийся увеличением расходов клиентов на подарочные покупки. </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lastRenderedPageBreak/>
        <w:t>Поступления средств на счета пластиковых карт по экономическому  содержанию можно отнести к привлечениям от физических лиц, поэтому необходимо рассчитать долю средств на пластиковых картах в общем объеме вкладов населения. Полученные результаты позволят оценить масштабы операций банка с физическими лицами в направлении бизнеса, связанного с пластиковыми картами.</w:t>
      </w:r>
      <w:r w:rsidR="003C2DBB">
        <w:rPr>
          <w:rStyle w:val="af0"/>
          <w:rFonts w:ascii="Times New Roman" w:hAnsi="Times New Roman" w:cs="Times New Roman"/>
          <w:sz w:val="28"/>
          <w:szCs w:val="28"/>
          <w:lang w:eastAsia="ru-RU"/>
        </w:rPr>
        <w:footnoteReference w:id="13"/>
      </w:r>
      <w:r w:rsidR="0047305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(таб.</w:t>
      </w:r>
      <w:r w:rsidR="00E32EDB">
        <w:rPr>
          <w:rFonts w:ascii="Times New Roman" w:hAnsi="Times New Roman" w:cs="Times New Roman"/>
          <w:sz w:val="28"/>
          <w:szCs w:val="28"/>
          <w:lang w:eastAsia="ru-RU"/>
        </w:rPr>
        <w:t>3.5</w:t>
      </w:r>
      <w:r>
        <w:rPr>
          <w:rFonts w:ascii="Times New Roman" w:hAnsi="Times New Roman" w:cs="Times New Roman"/>
          <w:sz w:val="28"/>
          <w:szCs w:val="28"/>
          <w:lang w:eastAsia="ru-RU"/>
        </w:rPr>
        <w:t>)</w:t>
      </w:r>
    </w:p>
    <w:p w:rsidR="009B7369" w:rsidRPr="0028551C" w:rsidRDefault="009B7369" w:rsidP="009B7369">
      <w:pPr>
        <w:spacing w:after="0" w:line="360" w:lineRule="auto"/>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t xml:space="preserve">Таблица </w:t>
      </w:r>
      <w:r w:rsidR="00E32EDB">
        <w:rPr>
          <w:rFonts w:ascii="Times New Roman" w:hAnsi="Times New Roman" w:cs="Times New Roman"/>
          <w:bCs/>
          <w:sz w:val="28"/>
          <w:szCs w:val="28"/>
          <w:lang w:eastAsia="ru-RU"/>
        </w:rPr>
        <w:t>3.5</w:t>
      </w:r>
      <w:r w:rsidRPr="0028551C">
        <w:rPr>
          <w:rFonts w:ascii="Times New Roman" w:hAnsi="Times New Roman" w:cs="Times New Roman"/>
          <w:bCs/>
          <w:sz w:val="28"/>
          <w:szCs w:val="28"/>
          <w:lang w:eastAsia="ru-RU"/>
        </w:rPr>
        <w:t xml:space="preserve">. Динамика удельного веса привлечений на счета пластиковых карт в общем объеме привлечений от физических лиц в </w:t>
      </w:r>
      <w:r>
        <w:rPr>
          <w:rFonts w:ascii="Times New Roman" w:hAnsi="Times New Roman" w:cs="Times New Roman"/>
          <w:sz w:val="28"/>
          <w:szCs w:val="28"/>
          <w:lang w:eastAsia="ru-RU"/>
        </w:rPr>
        <w:t>МоскомПриватБанке</w:t>
      </w:r>
    </w:p>
    <w:tbl>
      <w:tblPr>
        <w:tblStyle w:val="21"/>
        <w:tblW w:w="5000" w:type="pct"/>
        <w:tblLook w:val="04A0"/>
      </w:tblPr>
      <w:tblGrid>
        <w:gridCol w:w="4387"/>
        <w:gridCol w:w="1296"/>
        <w:gridCol w:w="1296"/>
        <w:gridCol w:w="1296"/>
        <w:gridCol w:w="1296"/>
      </w:tblGrid>
      <w:tr w:rsidR="009B7369" w:rsidRPr="0028551C" w:rsidTr="00E32EDB">
        <w:tc>
          <w:tcPr>
            <w:tcW w:w="4785"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Дата</w:t>
            </w:r>
          </w:p>
        </w:tc>
        <w:tc>
          <w:tcPr>
            <w:tcW w:w="1155"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01.01.20</w:t>
            </w:r>
            <w:r>
              <w:rPr>
                <w:rFonts w:ascii="Times New Roman" w:hAnsi="Times New Roman"/>
                <w:b/>
                <w:bCs/>
                <w:sz w:val="24"/>
                <w:szCs w:val="24"/>
              </w:rPr>
              <w:t>12</w:t>
            </w:r>
          </w:p>
        </w:tc>
        <w:tc>
          <w:tcPr>
            <w:tcW w:w="108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01.04.20</w:t>
            </w:r>
            <w:r>
              <w:rPr>
                <w:rFonts w:ascii="Times New Roman" w:hAnsi="Times New Roman"/>
                <w:b/>
                <w:bCs/>
                <w:sz w:val="24"/>
                <w:szCs w:val="24"/>
              </w:rPr>
              <w:t>12</w:t>
            </w:r>
          </w:p>
        </w:tc>
        <w:tc>
          <w:tcPr>
            <w:tcW w:w="108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01.07.20</w:t>
            </w:r>
            <w:r>
              <w:rPr>
                <w:rFonts w:ascii="Times New Roman" w:hAnsi="Times New Roman"/>
                <w:b/>
                <w:bCs/>
                <w:sz w:val="24"/>
                <w:szCs w:val="24"/>
              </w:rPr>
              <w:t>12</w:t>
            </w:r>
          </w:p>
        </w:tc>
        <w:tc>
          <w:tcPr>
            <w:tcW w:w="1080" w:type="dxa"/>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01.12.20</w:t>
            </w:r>
            <w:r>
              <w:rPr>
                <w:rFonts w:ascii="Times New Roman" w:hAnsi="Times New Roman"/>
                <w:b/>
                <w:bCs/>
                <w:sz w:val="24"/>
                <w:szCs w:val="24"/>
              </w:rPr>
              <w:t>12</w:t>
            </w:r>
          </w:p>
        </w:tc>
      </w:tr>
      <w:tr w:rsidR="009B7369" w:rsidRPr="0028551C" w:rsidTr="00E32EDB">
        <w:tc>
          <w:tcPr>
            <w:tcW w:w="478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Привлечения на счета пластиковых карт (тыс. руб.)</w:t>
            </w:r>
          </w:p>
        </w:tc>
        <w:tc>
          <w:tcPr>
            <w:tcW w:w="115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9 821</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38 533</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19 079</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6 142</w:t>
            </w:r>
          </w:p>
        </w:tc>
      </w:tr>
      <w:tr w:rsidR="009B7369" w:rsidRPr="0028551C" w:rsidTr="00E32EDB">
        <w:tc>
          <w:tcPr>
            <w:tcW w:w="478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Привлечения на вкладные счета физических лиц (тыс. руб.)</w:t>
            </w:r>
          </w:p>
        </w:tc>
        <w:tc>
          <w:tcPr>
            <w:tcW w:w="115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4378655</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5167870</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5318664</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5695728</w:t>
            </w:r>
          </w:p>
        </w:tc>
      </w:tr>
      <w:tr w:rsidR="009B7369" w:rsidRPr="0028551C" w:rsidTr="00E32EDB">
        <w:tc>
          <w:tcPr>
            <w:tcW w:w="478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Удельный вес привлечений на пластиковые карты в общем объеме привлечений от частных лиц (%)</w:t>
            </w:r>
          </w:p>
        </w:tc>
        <w:tc>
          <w:tcPr>
            <w:tcW w:w="1155"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0,2</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0,7</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0,4</w:t>
            </w:r>
          </w:p>
        </w:tc>
        <w:tc>
          <w:tcPr>
            <w:tcW w:w="108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0,2</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Анализ полученных данных показал, что средства на счетах пластиковых карт занимают в банке незначительную долю, не превышающую один процент. Данный факт позволяет судить о том, что в </w:t>
      </w:r>
      <w:r>
        <w:rPr>
          <w:rFonts w:ascii="Times New Roman" w:hAnsi="Times New Roman" w:cs="Times New Roman"/>
          <w:sz w:val="28"/>
          <w:szCs w:val="28"/>
          <w:lang w:eastAsia="ru-RU"/>
        </w:rPr>
        <w:t>МоскомПриватБанке</w:t>
      </w:r>
      <w:r w:rsidRPr="002830CA">
        <w:rPr>
          <w:rFonts w:ascii="Times New Roman" w:hAnsi="Times New Roman" w:cs="Times New Roman"/>
          <w:sz w:val="28"/>
          <w:szCs w:val="28"/>
          <w:lang w:eastAsia="ru-RU"/>
        </w:rPr>
        <w:t xml:space="preserve"> данный вид бизнеса не получил широкого развития. Как было указано выше, снижение остатков по счетам пластиковых карт характерно для начала и конца календарного года, так как обусловлено наличием праздников. В этой связи удельный вес привлечений на пластиковые карты является минимальным именно в эти периоды. Вместе с тем, следует отметить, что какой-либо постоянной динамики в объемах привлечения на пластиковые карты выявить не удалось, как это, например, наблюдается у привлечений на срочные вкладные счета (анализ показал, что динамика объемов вкладов имеет постоянный растущий характер).</w:t>
      </w:r>
    </w:p>
    <w:p w:rsidR="00E32EDB" w:rsidRPr="003C2DBB" w:rsidRDefault="009B7369" w:rsidP="003C2DBB">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Рассмотрим динамику основных показателей использования пластиковых карт </w:t>
      </w:r>
      <w:r>
        <w:rPr>
          <w:rFonts w:ascii="Times New Roman" w:hAnsi="Times New Roman" w:cs="Times New Roman"/>
          <w:sz w:val="28"/>
          <w:szCs w:val="28"/>
          <w:lang w:eastAsia="ru-RU"/>
        </w:rPr>
        <w:t>ПриватБанка</w:t>
      </w:r>
      <w:r w:rsidRPr="002830CA">
        <w:rPr>
          <w:rFonts w:ascii="Times New Roman" w:hAnsi="Times New Roman" w:cs="Times New Roman"/>
          <w:sz w:val="28"/>
          <w:szCs w:val="28"/>
          <w:lang w:eastAsia="ru-RU"/>
        </w:rPr>
        <w:t xml:space="preserve"> (табл. </w:t>
      </w:r>
      <w:r w:rsidR="00E32EDB">
        <w:rPr>
          <w:rFonts w:ascii="Times New Roman" w:hAnsi="Times New Roman" w:cs="Times New Roman"/>
          <w:sz w:val="28"/>
          <w:szCs w:val="28"/>
          <w:lang w:eastAsia="ru-RU"/>
        </w:rPr>
        <w:t>3.6</w:t>
      </w:r>
      <w:r w:rsidRPr="002830CA">
        <w:rPr>
          <w:rFonts w:ascii="Times New Roman" w:hAnsi="Times New Roman" w:cs="Times New Roman"/>
          <w:sz w:val="28"/>
          <w:szCs w:val="28"/>
          <w:lang w:eastAsia="ru-RU"/>
        </w:rPr>
        <w:t>).</w:t>
      </w:r>
    </w:p>
    <w:p w:rsidR="009B7369" w:rsidRPr="0028551C" w:rsidRDefault="009B7369" w:rsidP="003C2DBB">
      <w:pPr>
        <w:spacing w:after="0" w:line="360" w:lineRule="auto"/>
        <w:ind w:firstLine="709"/>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lastRenderedPageBreak/>
        <w:t xml:space="preserve">Таблица </w:t>
      </w:r>
      <w:r w:rsidR="00E32EDB">
        <w:rPr>
          <w:rFonts w:ascii="Times New Roman" w:hAnsi="Times New Roman" w:cs="Times New Roman"/>
          <w:bCs/>
          <w:sz w:val="28"/>
          <w:szCs w:val="28"/>
          <w:lang w:eastAsia="ru-RU"/>
        </w:rPr>
        <w:t>3.6</w:t>
      </w:r>
      <w:r w:rsidRPr="0028551C">
        <w:rPr>
          <w:rFonts w:ascii="Times New Roman" w:hAnsi="Times New Roman" w:cs="Times New Roman"/>
          <w:bCs/>
          <w:sz w:val="28"/>
          <w:szCs w:val="28"/>
          <w:lang w:eastAsia="ru-RU"/>
        </w:rPr>
        <w:t xml:space="preserve">. Динамика показателей эмиссии и использования пластиковых карт банка </w:t>
      </w:r>
      <w:r w:rsidR="00E32EDB">
        <w:rPr>
          <w:rFonts w:ascii="Times New Roman" w:hAnsi="Times New Roman" w:cs="Times New Roman"/>
          <w:sz w:val="28"/>
          <w:szCs w:val="28"/>
          <w:lang w:eastAsia="ru-RU"/>
        </w:rPr>
        <w:t>ЗАО МКБ «Приватбанка»</w:t>
      </w:r>
    </w:p>
    <w:tbl>
      <w:tblPr>
        <w:tblStyle w:val="21"/>
        <w:tblW w:w="5000" w:type="pct"/>
        <w:tblLook w:val="04A0"/>
      </w:tblPr>
      <w:tblGrid>
        <w:gridCol w:w="2244"/>
        <w:gridCol w:w="1121"/>
        <w:gridCol w:w="1121"/>
        <w:gridCol w:w="1121"/>
        <w:gridCol w:w="1137"/>
        <w:gridCol w:w="1058"/>
        <w:gridCol w:w="900"/>
        <w:gridCol w:w="869"/>
      </w:tblGrid>
      <w:tr w:rsidR="009B7369" w:rsidRPr="0028551C" w:rsidTr="00E32EDB">
        <w:tc>
          <w:tcPr>
            <w:tcW w:w="2130" w:type="dxa"/>
            <w:vMerge w:val="restart"/>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Наименование показателя</w:t>
            </w:r>
          </w:p>
        </w:tc>
        <w:tc>
          <w:tcPr>
            <w:tcW w:w="3180" w:type="dxa"/>
            <w:gridSpan w:val="3"/>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Значение</w:t>
            </w:r>
          </w:p>
        </w:tc>
        <w:tc>
          <w:tcPr>
            <w:tcW w:w="2085" w:type="dxa"/>
            <w:gridSpan w:val="2"/>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Абсолютное изменение</w:t>
            </w:r>
          </w:p>
        </w:tc>
        <w:tc>
          <w:tcPr>
            <w:tcW w:w="1680" w:type="dxa"/>
            <w:gridSpan w:val="2"/>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Темп роста, %</w:t>
            </w:r>
          </w:p>
        </w:tc>
      </w:tr>
      <w:tr w:rsidR="009B7369" w:rsidRPr="0028551C" w:rsidTr="00E32EDB">
        <w:tc>
          <w:tcPr>
            <w:tcW w:w="0" w:type="auto"/>
            <w:vMerge/>
            <w:hideMark/>
          </w:tcPr>
          <w:p w:rsidR="009B7369" w:rsidRPr="0028551C" w:rsidRDefault="009B7369" w:rsidP="00E32EDB">
            <w:pPr>
              <w:jc w:val="both"/>
              <w:rPr>
                <w:rFonts w:ascii="Times New Roman" w:hAnsi="Times New Roman"/>
                <w:b/>
                <w:bCs/>
                <w:sz w:val="24"/>
                <w:szCs w:val="24"/>
              </w:rPr>
            </w:pPr>
          </w:p>
        </w:tc>
        <w:tc>
          <w:tcPr>
            <w:tcW w:w="106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2010 г.</w:t>
            </w:r>
          </w:p>
        </w:tc>
        <w:tc>
          <w:tcPr>
            <w:tcW w:w="106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106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108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100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85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82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r>
      <w:tr w:rsidR="009B7369" w:rsidRPr="0028551C" w:rsidTr="00E32EDB">
        <w:tc>
          <w:tcPr>
            <w:tcW w:w="213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Количество эмитированных карт,  шт.</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55503</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55035</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61393</w:t>
            </w:r>
          </w:p>
        </w:tc>
        <w:tc>
          <w:tcPr>
            <w:tcW w:w="108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-468</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6358</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-0,8</w:t>
            </w:r>
          </w:p>
        </w:tc>
        <w:tc>
          <w:tcPr>
            <w:tcW w:w="82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11,6</w:t>
            </w:r>
          </w:p>
        </w:tc>
      </w:tr>
      <w:tr w:rsidR="009B7369" w:rsidRPr="0028551C" w:rsidTr="00E32EDB">
        <w:tc>
          <w:tcPr>
            <w:tcW w:w="213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Количество операций по картам ед.</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816622</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717723</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821405</w:t>
            </w:r>
          </w:p>
        </w:tc>
        <w:tc>
          <w:tcPr>
            <w:tcW w:w="108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-98899</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103682</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-12,1</w:t>
            </w:r>
          </w:p>
        </w:tc>
        <w:tc>
          <w:tcPr>
            <w:tcW w:w="82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14,4</w:t>
            </w:r>
          </w:p>
        </w:tc>
      </w:tr>
      <w:tr w:rsidR="009B7369" w:rsidRPr="0028551C" w:rsidTr="00E32EDB">
        <w:tc>
          <w:tcPr>
            <w:tcW w:w="213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Объем операций, совершенных по картам банка А (получение наличных, оплата с использованием карты, прочие операции), тыс. руб.</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3422231</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3715816</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3004906</w:t>
            </w:r>
          </w:p>
        </w:tc>
        <w:tc>
          <w:tcPr>
            <w:tcW w:w="108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293585</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-710910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8,6</w:t>
            </w:r>
          </w:p>
        </w:tc>
        <w:tc>
          <w:tcPr>
            <w:tcW w:w="82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-19,1</w:t>
            </w:r>
          </w:p>
        </w:tc>
      </w:tr>
      <w:tr w:rsidR="009B7369" w:rsidRPr="0028551C" w:rsidTr="00E32EDB">
        <w:tc>
          <w:tcPr>
            <w:tcW w:w="213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Остатки на счетах пластиковых карт, млн. руб.</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283</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271</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302</w:t>
            </w:r>
          </w:p>
        </w:tc>
        <w:tc>
          <w:tcPr>
            <w:tcW w:w="108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-12</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31</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-4,2</w:t>
            </w:r>
          </w:p>
        </w:tc>
        <w:tc>
          <w:tcPr>
            <w:tcW w:w="82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11,4</w:t>
            </w:r>
          </w:p>
        </w:tc>
      </w:tr>
      <w:tr w:rsidR="009B7369" w:rsidRPr="0028551C" w:rsidTr="00E32EDB">
        <w:tc>
          <w:tcPr>
            <w:tcW w:w="2130"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Комиссионная прибыль по пластиковым картам, млн. руб.</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183</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197</w:t>
            </w:r>
          </w:p>
        </w:tc>
        <w:tc>
          <w:tcPr>
            <w:tcW w:w="106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198</w:t>
            </w:r>
          </w:p>
        </w:tc>
        <w:tc>
          <w:tcPr>
            <w:tcW w:w="108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14</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7,7</w:t>
            </w:r>
          </w:p>
        </w:tc>
        <w:tc>
          <w:tcPr>
            <w:tcW w:w="82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0,5</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Из представленной таблицы </w:t>
      </w:r>
      <w:r>
        <w:rPr>
          <w:rFonts w:ascii="Times New Roman" w:hAnsi="Times New Roman" w:cs="Times New Roman"/>
          <w:sz w:val="28"/>
          <w:szCs w:val="28"/>
          <w:lang w:eastAsia="ru-RU"/>
        </w:rPr>
        <w:t>2.8</w:t>
      </w:r>
      <w:r w:rsidRPr="002830CA">
        <w:rPr>
          <w:rFonts w:ascii="Times New Roman" w:hAnsi="Times New Roman" w:cs="Times New Roman"/>
          <w:sz w:val="28"/>
          <w:szCs w:val="28"/>
          <w:lang w:eastAsia="ru-RU"/>
        </w:rPr>
        <w:t xml:space="preserve"> видно, что 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банк эмитировал 55503 ед. пластиковых карт, однако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данный показатель снизился на 0,8% или 468 единиц в абсолютном выражении, что было вызвано с уходом некоторых клиентов в результате смены банка-партнера по программам эмиссии и эквайринга международных карт VISA.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w:t>
      </w:r>
      <w:r>
        <w:rPr>
          <w:rFonts w:ascii="Times New Roman" w:hAnsi="Times New Roman" w:cs="Times New Roman"/>
          <w:sz w:val="28"/>
          <w:szCs w:val="28"/>
          <w:lang w:eastAsia="ru-RU"/>
        </w:rPr>
        <w:t>Приват Банк п</w:t>
      </w:r>
      <w:r w:rsidRPr="002830CA">
        <w:rPr>
          <w:rFonts w:ascii="Times New Roman" w:hAnsi="Times New Roman" w:cs="Times New Roman"/>
          <w:sz w:val="28"/>
          <w:szCs w:val="28"/>
          <w:lang w:eastAsia="ru-RU"/>
        </w:rPr>
        <w:t xml:space="preserve">оказал рост эмиссии банковских карт на 11,6% или 6358 единиц, что свидетельствует о верной стратегии развития данного вида бизнеса. В частности,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банком была разработана предоплаченная карта Maestro, а также был внедрен новый продукт для клиентов – юридических лиц «Экспресс-карта», которая выпускается непосредственно к расчетному счету предприятия на неограниченное число доверенных лиц с возможностью установки индивидуальных прав по каждой карте.</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lastRenderedPageBreak/>
        <w:t>Другим показателем эффективности функционирования карточных программ являются остатки средств на карточных счетах клиентов.</w:t>
      </w:r>
      <w:r w:rsidR="003C2DBB">
        <w:rPr>
          <w:rStyle w:val="af0"/>
          <w:rFonts w:ascii="Times New Roman" w:hAnsi="Times New Roman" w:cs="Times New Roman"/>
          <w:sz w:val="28"/>
          <w:szCs w:val="28"/>
          <w:lang w:eastAsia="ru-RU"/>
        </w:rPr>
        <w:footnoteReference w:id="14"/>
      </w:r>
      <w:r w:rsidRPr="002830CA">
        <w:rPr>
          <w:rFonts w:ascii="Times New Roman" w:hAnsi="Times New Roman" w:cs="Times New Roman"/>
          <w:sz w:val="28"/>
          <w:szCs w:val="28"/>
          <w:lang w:eastAsia="ru-RU"/>
        </w:rPr>
        <w:t xml:space="preserve"> В рассматриваемом периоде данный показатель увеличился на 4,2% и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составил 302 млн. рублей.</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Количественные и качественные показатели операций по картам, выпущенным </w:t>
      </w:r>
      <w:r>
        <w:rPr>
          <w:rFonts w:ascii="Times New Roman" w:hAnsi="Times New Roman" w:cs="Times New Roman"/>
          <w:sz w:val="28"/>
          <w:szCs w:val="28"/>
          <w:lang w:eastAsia="ru-RU"/>
        </w:rPr>
        <w:t>ПриватБанка</w:t>
      </w:r>
      <w:r w:rsidRPr="002830CA">
        <w:rPr>
          <w:rFonts w:ascii="Times New Roman" w:hAnsi="Times New Roman" w:cs="Times New Roman"/>
          <w:sz w:val="28"/>
          <w:szCs w:val="28"/>
          <w:lang w:eastAsia="ru-RU"/>
        </w:rPr>
        <w:t xml:space="preserve"> в рассматриваемом периоде, могут быть оценены неоднозначно: количество операций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уменьшилось на 12,1%, а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достигло 821405 ед., увеличившись на 14,4%, в то время как объем операций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возрос на 8,6%, а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снизился на 19,1%, достигнув 3004906 тыс. рублей. Другими словами,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благодаря активному участию в маркетинговых программах, направленных на стимулирование безналичной оплаты покупок по картам в торгово-сервисных предприятиях, увеличилось не только количество операций, но и их сумма. Этому также способствовало расширение эквайринговой сети банка. Следует отметить и такой показатель, как комиссионная прибыль банка. 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она составляла 183 млн. рублей и к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выросла на 7,7%, составив свыше 197 млн. рублей, а к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 еще на 0,5%, что явилось следствием роста количества операций по пластиковым картам.</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ПриватБанк</w:t>
      </w:r>
      <w:r w:rsidRPr="002830CA">
        <w:rPr>
          <w:rFonts w:ascii="Times New Roman" w:hAnsi="Times New Roman" w:cs="Times New Roman"/>
          <w:sz w:val="28"/>
          <w:szCs w:val="28"/>
          <w:lang w:eastAsia="ru-RU"/>
        </w:rPr>
        <w:t xml:space="preserve"> эмитирует пластиковые карты как для клиентов – физических лиц, так и для корпоративных клиентов. Структура клиентов-пользователей платежных карт банка представлена в табл</w:t>
      </w:r>
      <w:r w:rsidR="00B52721">
        <w:rPr>
          <w:rFonts w:ascii="Times New Roman" w:hAnsi="Times New Roman" w:cs="Times New Roman"/>
          <w:sz w:val="28"/>
          <w:szCs w:val="28"/>
          <w:lang w:eastAsia="ru-RU"/>
        </w:rPr>
        <w:t>.3.7</w:t>
      </w:r>
    </w:p>
    <w:p w:rsidR="009B7369" w:rsidRPr="0028551C" w:rsidRDefault="009B7369" w:rsidP="009B7369">
      <w:pPr>
        <w:spacing w:after="0" w:line="360" w:lineRule="auto"/>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t xml:space="preserve">Таблица </w:t>
      </w:r>
      <w:r w:rsidR="00B52721">
        <w:rPr>
          <w:rFonts w:ascii="Times New Roman" w:hAnsi="Times New Roman" w:cs="Times New Roman"/>
          <w:bCs/>
          <w:sz w:val="28"/>
          <w:szCs w:val="28"/>
          <w:lang w:eastAsia="ru-RU"/>
        </w:rPr>
        <w:t>3.7.</w:t>
      </w:r>
      <w:r w:rsidRPr="0028551C">
        <w:rPr>
          <w:rFonts w:ascii="Times New Roman" w:hAnsi="Times New Roman" w:cs="Times New Roman"/>
          <w:bCs/>
          <w:sz w:val="28"/>
          <w:szCs w:val="28"/>
          <w:lang w:eastAsia="ru-RU"/>
        </w:rPr>
        <w:t xml:space="preserve"> Структура пользователей банковскими картами </w:t>
      </w:r>
    </w:p>
    <w:tbl>
      <w:tblPr>
        <w:tblStyle w:val="21"/>
        <w:tblW w:w="5000" w:type="pct"/>
        <w:tblLook w:val="04A0"/>
      </w:tblPr>
      <w:tblGrid>
        <w:gridCol w:w="560"/>
        <w:gridCol w:w="2191"/>
        <w:gridCol w:w="1153"/>
        <w:gridCol w:w="1153"/>
        <w:gridCol w:w="1053"/>
        <w:gridCol w:w="1153"/>
        <w:gridCol w:w="1154"/>
        <w:gridCol w:w="1154"/>
      </w:tblGrid>
      <w:tr w:rsidR="009B7369" w:rsidRPr="0028551C" w:rsidTr="00E32EDB">
        <w:tc>
          <w:tcPr>
            <w:tcW w:w="200" w:type="pct"/>
            <w:vMerge w:val="restart"/>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 п/п</w:t>
            </w:r>
          </w:p>
        </w:tc>
        <w:tc>
          <w:tcPr>
            <w:tcW w:w="1100" w:type="pct"/>
            <w:vMerge w:val="restart"/>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Держатели</w:t>
            </w:r>
          </w:p>
        </w:tc>
        <w:tc>
          <w:tcPr>
            <w:tcW w:w="1750" w:type="pct"/>
            <w:gridSpan w:val="3"/>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Количество клиентов, ед.</w:t>
            </w:r>
          </w:p>
        </w:tc>
        <w:tc>
          <w:tcPr>
            <w:tcW w:w="1800" w:type="pct"/>
            <w:gridSpan w:val="3"/>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Структура, %</w:t>
            </w:r>
          </w:p>
        </w:tc>
      </w:tr>
      <w:tr w:rsidR="009B7369" w:rsidRPr="0028551C" w:rsidTr="00E32EDB">
        <w:tc>
          <w:tcPr>
            <w:tcW w:w="0" w:type="auto"/>
            <w:vMerge/>
            <w:hideMark/>
          </w:tcPr>
          <w:p w:rsidR="009B7369" w:rsidRPr="0028551C" w:rsidRDefault="009B7369" w:rsidP="00E32EDB">
            <w:pPr>
              <w:spacing w:line="360" w:lineRule="auto"/>
              <w:jc w:val="both"/>
              <w:rPr>
                <w:rFonts w:ascii="Times New Roman" w:hAnsi="Times New Roman"/>
                <w:b/>
                <w:bCs/>
                <w:sz w:val="24"/>
                <w:szCs w:val="24"/>
              </w:rPr>
            </w:pPr>
          </w:p>
        </w:tc>
        <w:tc>
          <w:tcPr>
            <w:tcW w:w="0" w:type="auto"/>
            <w:vMerge/>
            <w:hideMark/>
          </w:tcPr>
          <w:p w:rsidR="009B7369" w:rsidRPr="0028551C" w:rsidRDefault="009B7369" w:rsidP="00E32EDB">
            <w:pPr>
              <w:spacing w:line="360" w:lineRule="auto"/>
              <w:jc w:val="both"/>
              <w:rPr>
                <w:rFonts w:ascii="Times New Roman" w:hAnsi="Times New Roman"/>
                <w:b/>
                <w:bCs/>
                <w:sz w:val="24"/>
                <w:szCs w:val="24"/>
              </w:rPr>
            </w:pPr>
          </w:p>
        </w:tc>
        <w:tc>
          <w:tcPr>
            <w:tcW w:w="60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2010 г.</w:t>
            </w:r>
          </w:p>
        </w:tc>
        <w:tc>
          <w:tcPr>
            <w:tcW w:w="60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2011 г.</w:t>
            </w:r>
          </w:p>
        </w:tc>
        <w:tc>
          <w:tcPr>
            <w:tcW w:w="50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2012 г.</w:t>
            </w:r>
          </w:p>
        </w:tc>
        <w:tc>
          <w:tcPr>
            <w:tcW w:w="60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2010 г.</w:t>
            </w:r>
          </w:p>
        </w:tc>
        <w:tc>
          <w:tcPr>
            <w:tcW w:w="60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2011 г.</w:t>
            </w:r>
          </w:p>
        </w:tc>
        <w:tc>
          <w:tcPr>
            <w:tcW w:w="550" w:type="pct"/>
            <w:noWrap/>
            <w:hideMark/>
          </w:tcPr>
          <w:p w:rsidR="009B7369" w:rsidRPr="0028551C" w:rsidRDefault="009B7369" w:rsidP="00E32EDB">
            <w:pPr>
              <w:spacing w:line="360" w:lineRule="auto"/>
              <w:jc w:val="both"/>
              <w:rPr>
                <w:rFonts w:ascii="Times New Roman" w:hAnsi="Times New Roman"/>
                <w:b/>
                <w:bCs/>
                <w:sz w:val="24"/>
                <w:szCs w:val="24"/>
              </w:rPr>
            </w:pPr>
            <w:r w:rsidRPr="0028551C">
              <w:rPr>
                <w:rFonts w:ascii="Times New Roman" w:hAnsi="Times New Roman"/>
                <w:b/>
                <w:bCs/>
                <w:sz w:val="24"/>
                <w:szCs w:val="24"/>
              </w:rPr>
              <w:t>2012 г.</w:t>
            </w:r>
          </w:p>
        </w:tc>
      </w:tr>
      <w:tr w:rsidR="009B7369" w:rsidRPr="0028551C" w:rsidTr="00E32EDB">
        <w:tc>
          <w:tcPr>
            <w:tcW w:w="2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1</w:t>
            </w:r>
          </w:p>
        </w:tc>
        <w:tc>
          <w:tcPr>
            <w:tcW w:w="11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Физические лица</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52343</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52739</w:t>
            </w:r>
          </w:p>
        </w:tc>
        <w:tc>
          <w:tcPr>
            <w:tcW w:w="5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57882</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99,9</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99,9</w:t>
            </w:r>
          </w:p>
        </w:tc>
        <w:tc>
          <w:tcPr>
            <w:tcW w:w="55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99,9</w:t>
            </w:r>
          </w:p>
        </w:tc>
      </w:tr>
      <w:tr w:rsidR="009B7369" w:rsidRPr="0028551C" w:rsidTr="00E32EDB">
        <w:tc>
          <w:tcPr>
            <w:tcW w:w="2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2</w:t>
            </w:r>
          </w:p>
        </w:tc>
        <w:tc>
          <w:tcPr>
            <w:tcW w:w="11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Юридические лица</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62</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54</w:t>
            </w:r>
          </w:p>
        </w:tc>
        <w:tc>
          <w:tcPr>
            <w:tcW w:w="5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58</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0,1</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0,1</w:t>
            </w:r>
          </w:p>
        </w:tc>
        <w:tc>
          <w:tcPr>
            <w:tcW w:w="55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0,1</w:t>
            </w:r>
          </w:p>
        </w:tc>
      </w:tr>
      <w:tr w:rsidR="009B7369" w:rsidRPr="0028551C" w:rsidTr="00E32EDB">
        <w:tc>
          <w:tcPr>
            <w:tcW w:w="2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3</w:t>
            </w:r>
          </w:p>
        </w:tc>
        <w:tc>
          <w:tcPr>
            <w:tcW w:w="11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Всего клиентов</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52405</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52793</w:t>
            </w:r>
          </w:p>
        </w:tc>
        <w:tc>
          <w:tcPr>
            <w:tcW w:w="5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57940</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100,0</w:t>
            </w:r>
          </w:p>
        </w:tc>
        <w:tc>
          <w:tcPr>
            <w:tcW w:w="60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100,0</w:t>
            </w:r>
          </w:p>
        </w:tc>
        <w:tc>
          <w:tcPr>
            <w:tcW w:w="550" w:type="pct"/>
            <w:noWrap/>
            <w:hideMark/>
          </w:tcPr>
          <w:p w:rsidR="009B7369" w:rsidRPr="0028551C" w:rsidRDefault="009B7369" w:rsidP="00E32EDB">
            <w:pPr>
              <w:spacing w:line="360" w:lineRule="auto"/>
              <w:jc w:val="both"/>
              <w:rPr>
                <w:rFonts w:ascii="Times New Roman" w:hAnsi="Times New Roman"/>
                <w:sz w:val="24"/>
                <w:szCs w:val="24"/>
              </w:rPr>
            </w:pPr>
            <w:r w:rsidRPr="0028551C">
              <w:rPr>
                <w:rFonts w:ascii="Times New Roman" w:hAnsi="Times New Roman"/>
                <w:sz w:val="24"/>
                <w:szCs w:val="24"/>
              </w:rPr>
              <w:t>100,0</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lastRenderedPageBreak/>
        <w:t xml:space="preserve">Рассматривая таблицу </w:t>
      </w:r>
      <w:r w:rsidR="00B52721">
        <w:rPr>
          <w:rFonts w:ascii="Times New Roman" w:hAnsi="Times New Roman" w:cs="Times New Roman"/>
          <w:sz w:val="28"/>
          <w:szCs w:val="28"/>
          <w:lang w:eastAsia="ru-RU"/>
        </w:rPr>
        <w:t>3.7</w:t>
      </w:r>
      <w:r w:rsidRPr="002830CA">
        <w:rPr>
          <w:rFonts w:ascii="Times New Roman" w:hAnsi="Times New Roman" w:cs="Times New Roman"/>
          <w:sz w:val="28"/>
          <w:szCs w:val="28"/>
          <w:lang w:eastAsia="ru-RU"/>
        </w:rPr>
        <w:t xml:space="preserve"> можно увидеть, что подавляющее большинство пользователей пластиковыми картами </w:t>
      </w:r>
      <w:r w:rsidR="00B52721">
        <w:rPr>
          <w:rFonts w:ascii="Times New Roman" w:hAnsi="Times New Roman" w:cs="Times New Roman"/>
          <w:sz w:val="28"/>
          <w:szCs w:val="28"/>
          <w:lang w:eastAsia="ru-RU"/>
        </w:rPr>
        <w:t xml:space="preserve"> П</w:t>
      </w:r>
      <w:r>
        <w:rPr>
          <w:rFonts w:ascii="Times New Roman" w:hAnsi="Times New Roman" w:cs="Times New Roman"/>
          <w:sz w:val="28"/>
          <w:szCs w:val="28"/>
          <w:lang w:eastAsia="ru-RU"/>
        </w:rPr>
        <w:t>риватБанка</w:t>
      </w:r>
      <w:r w:rsidRPr="002830CA">
        <w:rPr>
          <w:rFonts w:ascii="Times New Roman" w:hAnsi="Times New Roman" w:cs="Times New Roman"/>
          <w:sz w:val="28"/>
          <w:szCs w:val="28"/>
          <w:lang w:eastAsia="ru-RU"/>
        </w:rPr>
        <w:t xml:space="preserve"> – физические лица (99,9%). Количество же юридических лиц – держателей пластиковых карт банка несравнимо меньше и составляет на протяжении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годов 0,1% от общего объема клиентов по карточным проектам. Физические лица являются той категорией клиентов, привлечь на карточные программы которых не составляет большого труда. В то же время эта категория приносит меньший доход банку.</w:t>
      </w:r>
    </w:p>
    <w:p w:rsidR="009B7369"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Более детально динамику выпуска карт и совершения операций по ним в разбивке по держателям можно рассмотреть,  используя таблицу </w:t>
      </w:r>
      <w:r w:rsidR="00B52721">
        <w:rPr>
          <w:rFonts w:ascii="Times New Roman" w:hAnsi="Times New Roman" w:cs="Times New Roman"/>
          <w:sz w:val="28"/>
          <w:szCs w:val="28"/>
          <w:lang w:eastAsia="ru-RU"/>
        </w:rPr>
        <w:t>3.8</w:t>
      </w:r>
      <w:r w:rsidRPr="002830CA">
        <w:rPr>
          <w:rFonts w:ascii="Times New Roman" w:hAnsi="Times New Roman" w:cs="Times New Roman"/>
          <w:sz w:val="28"/>
          <w:szCs w:val="28"/>
          <w:lang w:eastAsia="ru-RU"/>
        </w:rPr>
        <w:t>.</w:t>
      </w:r>
    </w:p>
    <w:p w:rsidR="009B7369" w:rsidRDefault="009B7369" w:rsidP="009B7369">
      <w:pPr>
        <w:spacing w:after="0" w:line="360" w:lineRule="auto"/>
        <w:ind w:firstLine="709"/>
        <w:jc w:val="both"/>
        <w:rPr>
          <w:rFonts w:ascii="Times New Roman" w:hAnsi="Times New Roman" w:cs="Times New Roman"/>
          <w:bCs/>
          <w:sz w:val="28"/>
          <w:szCs w:val="28"/>
          <w:lang w:eastAsia="ru-RU"/>
        </w:rPr>
      </w:pPr>
      <w:r w:rsidRPr="002830CA">
        <w:rPr>
          <w:rFonts w:ascii="Times New Roman" w:hAnsi="Times New Roman" w:cs="Times New Roman"/>
          <w:sz w:val="28"/>
          <w:szCs w:val="28"/>
          <w:lang w:eastAsia="ru-RU"/>
        </w:rPr>
        <w:t xml:space="preserve">Анализируя представленные данные (таблица </w:t>
      </w:r>
      <w:r w:rsidR="00B52721">
        <w:rPr>
          <w:rFonts w:ascii="Times New Roman" w:hAnsi="Times New Roman" w:cs="Times New Roman"/>
          <w:sz w:val="28"/>
          <w:szCs w:val="28"/>
          <w:lang w:eastAsia="ru-RU"/>
        </w:rPr>
        <w:t>3.8</w:t>
      </w:r>
      <w:r w:rsidRPr="002830CA">
        <w:rPr>
          <w:rFonts w:ascii="Times New Roman" w:hAnsi="Times New Roman" w:cs="Times New Roman"/>
          <w:sz w:val="28"/>
          <w:szCs w:val="28"/>
          <w:lang w:eastAsia="ru-RU"/>
        </w:rPr>
        <w:t xml:space="preserve">), можно отметить рост количества банковских карт для физических лиц: на 4,1% и 12,6% соответственно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и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годах. Причиной этому служит приток новых клиентов в результате расширения спектра продуктов для данного сегмента клиентов: появление на рынке карт НСПК, предоплаченных карт Maestro, новых услуг (Интернет-сервис, услуга «Мои сбережения» и др.), улучшения качества обслуживания. Противоположная ситуация с картами юридических лиц: их количество 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составляло 62 штуки, а к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уменьшилось до 49 штук в результате пересмотра партнерских программ.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был внедрен новый продукт для клиентов – юридических лиц «Экспресс-карта», в результате чего эмиссия карт в данной категории повысилась на 35,2%.</w:t>
      </w:r>
    </w:p>
    <w:p w:rsidR="009B7369" w:rsidRPr="0028551C" w:rsidRDefault="009B7369" w:rsidP="009B7369">
      <w:pPr>
        <w:spacing w:after="0" w:line="360" w:lineRule="auto"/>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t xml:space="preserve">Таблица </w:t>
      </w:r>
      <w:r w:rsidR="00B52721">
        <w:rPr>
          <w:rFonts w:ascii="Times New Roman" w:hAnsi="Times New Roman" w:cs="Times New Roman"/>
          <w:bCs/>
          <w:sz w:val="28"/>
          <w:szCs w:val="28"/>
          <w:lang w:eastAsia="ru-RU"/>
        </w:rPr>
        <w:t>3.8</w:t>
      </w:r>
      <w:r w:rsidRPr="0028551C">
        <w:rPr>
          <w:rFonts w:ascii="Times New Roman" w:hAnsi="Times New Roman" w:cs="Times New Roman"/>
          <w:bCs/>
          <w:sz w:val="28"/>
          <w:szCs w:val="28"/>
          <w:lang w:eastAsia="ru-RU"/>
        </w:rPr>
        <w:t xml:space="preserve">. Динамика эмиссии и операций с картами, выпущенными </w:t>
      </w:r>
      <w:r>
        <w:rPr>
          <w:rFonts w:ascii="Times New Roman" w:hAnsi="Times New Roman" w:cs="Times New Roman"/>
          <w:sz w:val="28"/>
          <w:szCs w:val="28"/>
          <w:lang w:eastAsia="ru-RU"/>
        </w:rPr>
        <w:t>ПриватБанком</w:t>
      </w:r>
      <w:r w:rsidRPr="0028551C">
        <w:rPr>
          <w:rFonts w:ascii="Times New Roman" w:hAnsi="Times New Roman" w:cs="Times New Roman"/>
          <w:bCs/>
          <w:sz w:val="28"/>
          <w:szCs w:val="28"/>
          <w:lang w:eastAsia="ru-RU"/>
        </w:rPr>
        <w:t xml:space="preserve"> по видам клиентов</w:t>
      </w:r>
    </w:p>
    <w:tbl>
      <w:tblPr>
        <w:tblStyle w:val="21"/>
        <w:tblW w:w="5000" w:type="pct"/>
        <w:tblLook w:val="04A0"/>
      </w:tblPr>
      <w:tblGrid>
        <w:gridCol w:w="560"/>
        <w:gridCol w:w="1629"/>
        <w:gridCol w:w="1140"/>
        <w:gridCol w:w="1151"/>
        <w:gridCol w:w="1253"/>
        <w:gridCol w:w="1005"/>
        <w:gridCol w:w="1123"/>
        <w:gridCol w:w="855"/>
        <w:gridCol w:w="855"/>
      </w:tblGrid>
      <w:tr w:rsidR="009B7369" w:rsidRPr="0028551C" w:rsidTr="00B52721">
        <w:tc>
          <w:tcPr>
            <w:tcW w:w="560" w:type="dxa"/>
            <w:vMerge w:val="restart"/>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 п/п</w:t>
            </w:r>
          </w:p>
        </w:tc>
        <w:tc>
          <w:tcPr>
            <w:tcW w:w="1629" w:type="dxa"/>
            <w:vMerge w:val="restart"/>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Показатель</w:t>
            </w:r>
          </w:p>
        </w:tc>
        <w:tc>
          <w:tcPr>
            <w:tcW w:w="3544" w:type="dxa"/>
            <w:gridSpan w:val="3"/>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Значение</w:t>
            </w:r>
          </w:p>
        </w:tc>
        <w:tc>
          <w:tcPr>
            <w:tcW w:w="2128" w:type="dxa"/>
            <w:gridSpan w:val="2"/>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Абсолютное изменение</w:t>
            </w:r>
          </w:p>
        </w:tc>
        <w:tc>
          <w:tcPr>
            <w:tcW w:w="1710" w:type="dxa"/>
            <w:gridSpan w:val="2"/>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Темп роста, %</w:t>
            </w:r>
          </w:p>
        </w:tc>
      </w:tr>
      <w:tr w:rsidR="009B7369" w:rsidRPr="0028551C" w:rsidTr="00B52721">
        <w:tc>
          <w:tcPr>
            <w:tcW w:w="0" w:type="auto"/>
            <w:vMerge/>
            <w:hideMark/>
          </w:tcPr>
          <w:p w:rsidR="009B7369" w:rsidRPr="0028551C" w:rsidRDefault="009B7369" w:rsidP="00E32EDB">
            <w:pPr>
              <w:jc w:val="both"/>
              <w:rPr>
                <w:rFonts w:ascii="Times New Roman" w:hAnsi="Times New Roman"/>
                <w:b/>
                <w:bCs/>
                <w:sz w:val="24"/>
                <w:szCs w:val="24"/>
              </w:rPr>
            </w:pPr>
          </w:p>
        </w:tc>
        <w:tc>
          <w:tcPr>
            <w:tcW w:w="0" w:type="auto"/>
            <w:vMerge/>
            <w:hideMark/>
          </w:tcPr>
          <w:p w:rsidR="009B7369" w:rsidRPr="0028551C" w:rsidRDefault="009B7369" w:rsidP="00E32EDB">
            <w:pPr>
              <w:jc w:val="both"/>
              <w:rPr>
                <w:rFonts w:ascii="Times New Roman" w:hAnsi="Times New Roman"/>
                <w:b/>
                <w:bCs/>
                <w:sz w:val="24"/>
                <w:szCs w:val="24"/>
              </w:rPr>
            </w:pPr>
          </w:p>
        </w:tc>
        <w:tc>
          <w:tcPr>
            <w:tcW w:w="114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2010 г.</w:t>
            </w:r>
          </w:p>
        </w:tc>
        <w:tc>
          <w:tcPr>
            <w:tcW w:w="1151"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1253"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100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1123"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85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85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r>
      <w:tr w:rsidR="009B7369" w:rsidRPr="0028551C" w:rsidTr="00E32EDB">
        <w:tc>
          <w:tcPr>
            <w:tcW w:w="9571" w:type="dxa"/>
            <w:gridSpan w:val="9"/>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Физические лица:</w:t>
            </w:r>
          </w:p>
        </w:tc>
      </w:tr>
      <w:tr w:rsidR="009B7369" w:rsidRPr="0028551C" w:rsidTr="00B52721">
        <w:tc>
          <w:tcPr>
            <w:tcW w:w="5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w:t>
            </w:r>
          </w:p>
        </w:tc>
        <w:tc>
          <w:tcPr>
            <w:tcW w:w="1629"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Количество банковских карт, шт.</w:t>
            </w:r>
          </w:p>
        </w:tc>
        <w:tc>
          <w:tcPr>
            <w:tcW w:w="114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52343</w:t>
            </w:r>
          </w:p>
        </w:tc>
        <w:tc>
          <w:tcPr>
            <w:tcW w:w="1151"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54464</w:t>
            </w:r>
          </w:p>
        </w:tc>
        <w:tc>
          <w:tcPr>
            <w:tcW w:w="125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61344</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2121</w:t>
            </w:r>
          </w:p>
        </w:tc>
        <w:tc>
          <w:tcPr>
            <w:tcW w:w="112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6880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4,1</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12,6</w:t>
            </w:r>
          </w:p>
        </w:tc>
      </w:tr>
      <w:tr w:rsidR="009B7369" w:rsidRPr="0028551C" w:rsidTr="00B52721">
        <w:tc>
          <w:tcPr>
            <w:tcW w:w="5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w:t>
            </w:r>
          </w:p>
        </w:tc>
        <w:tc>
          <w:tcPr>
            <w:tcW w:w="1629"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 xml:space="preserve">Количество операций по </w:t>
            </w:r>
            <w:r w:rsidRPr="0028551C">
              <w:rPr>
                <w:rFonts w:ascii="Times New Roman" w:hAnsi="Times New Roman"/>
                <w:sz w:val="24"/>
                <w:szCs w:val="24"/>
              </w:rPr>
              <w:lastRenderedPageBreak/>
              <w:t>картам, ед.</w:t>
            </w:r>
          </w:p>
        </w:tc>
        <w:tc>
          <w:tcPr>
            <w:tcW w:w="114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lastRenderedPageBreak/>
              <w:t>814367</w:t>
            </w:r>
          </w:p>
        </w:tc>
        <w:tc>
          <w:tcPr>
            <w:tcW w:w="1151"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717331</w:t>
            </w:r>
          </w:p>
        </w:tc>
        <w:tc>
          <w:tcPr>
            <w:tcW w:w="125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820441</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-97036</w:t>
            </w:r>
          </w:p>
        </w:tc>
        <w:tc>
          <w:tcPr>
            <w:tcW w:w="112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103110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-11,9</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14,4</w:t>
            </w:r>
          </w:p>
        </w:tc>
      </w:tr>
      <w:tr w:rsidR="009B7369" w:rsidRPr="0028551C" w:rsidTr="00B52721">
        <w:tc>
          <w:tcPr>
            <w:tcW w:w="5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lastRenderedPageBreak/>
              <w:t>3</w:t>
            </w:r>
          </w:p>
        </w:tc>
        <w:tc>
          <w:tcPr>
            <w:tcW w:w="1629" w:type="dxa"/>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Сумма операций, тыс. руб.</w:t>
            </w:r>
          </w:p>
        </w:tc>
        <w:tc>
          <w:tcPr>
            <w:tcW w:w="114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2969539</w:t>
            </w:r>
          </w:p>
        </w:tc>
        <w:tc>
          <w:tcPr>
            <w:tcW w:w="1151"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3718944</w:t>
            </w:r>
          </w:p>
        </w:tc>
        <w:tc>
          <w:tcPr>
            <w:tcW w:w="125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2969258</w:t>
            </w:r>
          </w:p>
        </w:tc>
        <w:tc>
          <w:tcPr>
            <w:tcW w:w="10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749405</w:t>
            </w:r>
          </w:p>
        </w:tc>
        <w:tc>
          <w:tcPr>
            <w:tcW w:w="1123"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-749686</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25,2</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-20,2</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Количество операций по банковским картам </w:t>
      </w:r>
      <w:r>
        <w:rPr>
          <w:rFonts w:ascii="Times New Roman" w:hAnsi="Times New Roman" w:cs="Times New Roman"/>
          <w:sz w:val="28"/>
          <w:szCs w:val="28"/>
          <w:lang w:eastAsia="ru-RU"/>
        </w:rPr>
        <w:t>ПриватБанке</w:t>
      </w:r>
      <w:r w:rsidRPr="002830CA">
        <w:rPr>
          <w:rFonts w:ascii="Times New Roman" w:hAnsi="Times New Roman" w:cs="Times New Roman"/>
          <w:sz w:val="28"/>
          <w:szCs w:val="28"/>
          <w:lang w:eastAsia="ru-RU"/>
        </w:rPr>
        <w:t xml:space="preserve">, совершаемых физическими лицами,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сократилось на 11,9%, а к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возросло на 14,4% и составило 820441 ед., что обусловлено введением банком новых карточных программ.</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В целом, количество операций, совершаемых по картам физических лиц лицами существенно больше, чем по карточкам юридических лиц: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оно составляло 820441 ед., что превышает показатель предыдущего года на 14,4%. Этот факт является следствием нахождения меньшего числа карт у юридических лиц. Сумма операций, совершаемых по карточкам физическими лицами,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снизилась на 20,2% или 749686 тыс. рублей, тогда как сумма операций по карточкам физических лиц, напротив, выросла почти в 3 раза, как и количество операций, которое составило 964 ед., что все же меньше, чем 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Объяснением может служить ухудшение финансового положения граждан, а также низкая степень стимулирования безналичной оплаты при помощи банковских карт.</w:t>
      </w:r>
      <w:r w:rsidR="0058267B">
        <w:rPr>
          <w:rStyle w:val="af0"/>
          <w:rFonts w:ascii="Times New Roman" w:hAnsi="Times New Roman" w:cs="Times New Roman"/>
          <w:sz w:val="28"/>
          <w:szCs w:val="28"/>
          <w:lang w:eastAsia="ru-RU"/>
        </w:rPr>
        <w:footnoteReference w:id="15"/>
      </w:r>
    </w:p>
    <w:p w:rsidR="009B7369" w:rsidRPr="002830CA" w:rsidRDefault="0047305B" w:rsidP="009B7369">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ПриватБанк п</w:t>
      </w:r>
      <w:r w:rsidR="009B7369" w:rsidRPr="002830CA">
        <w:rPr>
          <w:rFonts w:ascii="Times New Roman" w:hAnsi="Times New Roman" w:cs="Times New Roman"/>
          <w:sz w:val="28"/>
          <w:szCs w:val="28"/>
          <w:lang w:eastAsia="ru-RU"/>
        </w:rPr>
        <w:t xml:space="preserve">редлагает своим клиентам дебетовые, кредитные и предоплаченные пластиковые карты. В таблице </w:t>
      </w:r>
      <w:r w:rsidR="00B52721">
        <w:rPr>
          <w:rFonts w:ascii="Times New Roman" w:hAnsi="Times New Roman" w:cs="Times New Roman"/>
          <w:sz w:val="28"/>
          <w:szCs w:val="28"/>
          <w:lang w:eastAsia="ru-RU"/>
        </w:rPr>
        <w:t>3.9</w:t>
      </w:r>
      <w:r w:rsidR="009B7369" w:rsidRPr="002830CA">
        <w:rPr>
          <w:rFonts w:ascii="Times New Roman" w:hAnsi="Times New Roman" w:cs="Times New Roman"/>
          <w:sz w:val="28"/>
          <w:szCs w:val="28"/>
          <w:lang w:eastAsia="ru-RU"/>
        </w:rPr>
        <w:t xml:space="preserve"> представлены показатели структуры и динамики по данным видам карт.</w:t>
      </w:r>
    </w:p>
    <w:p w:rsidR="009B7369" w:rsidRPr="0028551C" w:rsidRDefault="009B7369" w:rsidP="009B7369">
      <w:pPr>
        <w:spacing w:after="0" w:line="360" w:lineRule="auto"/>
        <w:jc w:val="both"/>
        <w:rPr>
          <w:rFonts w:ascii="Times New Roman" w:hAnsi="Times New Roman" w:cs="Times New Roman"/>
          <w:sz w:val="28"/>
          <w:szCs w:val="28"/>
          <w:lang w:eastAsia="ru-RU"/>
        </w:rPr>
      </w:pPr>
      <w:r w:rsidRPr="0028551C">
        <w:rPr>
          <w:rFonts w:ascii="Times New Roman" w:hAnsi="Times New Roman" w:cs="Times New Roman"/>
          <w:bCs/>
          <w:sz w:val="28"/>
          <w:szCs w:val="28"/>
          <w:lang w:eastAsia="ru-RU"/>
        </w:rPr>
        <w:t xml:space="preserve">Таблица </w:t>
      </w:r>
      <w:r w:rsidR="00B52721">
        <w:rPr>
          <w:rFonts w:ascii="Times New Roman" w:hAnsi="Times New Roman" w:cs="Times New Roman"/>
          <w:bCs/>
          <w:sz w:val="28"/>
          <w:szCs w:val="28"/>
          <w:lang w:eastAsia="ru-RU"/>
        </w:rPr>
        <w:t>3.9</w:t>
      </w:r>
      <w:r w:rsidRPr="0028551C">
        <w:rPr>
          <w:rFonts w:ascii="Times New Roman" w:hAnsi="Times New Roman" w:cs="Times New Roman"/>
          <w:bCs/>
          <w:sz w:val="28"/>
          <w:szCs w:val="28"/>
          <w:lang w:eastAsia="ru-RU"/>
        </w:rPr>
        <w:t>. Структура и динамика эмиссии пластиковых карт по платежным схемам</w:t>
      </w:r>
    </w:p>
    <w:tbl>
      <w:tblPr>
        <w:tblStyle w:val="21"/>
        <w:tblW w:w="5000" w:type="pct"/>
        <w:tblLook w:val="04A0"/>
      </w:tblPr>
      <w:tblGrid>
        <w:gridCol w:w="551"/>
        <w:gridCol w:w="1923"/>
        <w:gridCol w:w="971"/>
        <w:gridCol w:w="971"/>
        <w:gridCol w:w="971"/>
        <w:gridCol w:w="693"/>
        <w:gridCol w:w="840"/>
        <w:gridCol w:w="840"/>
        <w:gridCol w:w="942"/>
        <w:gridCol w:w="869"/>
      </w:tblGrid>
      <w:tr w:rsidR="009B7369" w:rsidRPr="0028551C" w:rsidTr="00E32EDB">
        <w:tc>
          <w:tcPr>
            <w:tcW w:w="300" w:type="dxa"/>
            <w:vMerge w:val="restart"/>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 п/п</w:t>
            </w:r>
          </w:p>
        </w:tc>
        <w:tc>
          <w:tcPr>
            <w:tcW w:w="1845" w:type="dxa"/>
            <w:vMerge w:val="restart"/>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Вид карт</w:t>
            </w:r>
          </w:p>
        </w:tc>
        <w:tc>
          <w:tcPr>
            <w:tcW w:w="2970" w:type="dxa"/>
            <w:gridSpan w:val="3"/>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Значение, шт.</w:t>
            </w:r>
          </w:p>
        </w:tc>
        <w:tc>
          <w:tcPr>
            <w:tcW w:w="2415" w:type="dxa"/>
            <w:gridSpan w:val="3"/>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Структура, %</w:t>
            </w:r>
          </w:p>
        </w:tc>
        <w:tc>
          <w:tcPr>
            <w:tcW w:w="1845" w:type="dxa"/>
            <w:gridSpan w:val="2"/>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Абсолютное изменение</w:t>
            </w:r>
          </w:p>
        </w:tc>
      </w:tr>
      <w:tr w:rsidR="009B7369" w:rsidRPr="0028551C" w:rsidTr="00E32EDB">
        <w:tc>
          <w:tcPr>
            <w:tcW w:w="0" w:type="auto"/>
            <w:vMerge/>
            <w:hideMark/>
          </w:tcPr>
          <w:p w:rsidR="009B7369" w:rsidRPr="0028551C" w:rsidRDefault="009B7369" w:rsidP="00E32EDB">
            <w:pPr>
              <w:jc w:val="both"/>
              <w:rPr>
                <w:rFonts w:ascii="Times New Roman" w:hAnsi="Times New Roman"/>
                <w:b/>
                <w:bCs/>
                <w:sz w:val="24"/>
                <w:szCs w:val="24"/>
              </w:rPr>
            </w:pPr>
          </w:p>
        </w:tc>
        <w:tc>
          <w:tcPr>
            <w:tcW w:w="0" w:type="auto"/>
            <w:vMerge/>
            <w:hideMark/>
          </w:tcPr>
          <w:p w:rsidR="009B7369" w:rsidRPr="0028551C" w:rsidRDefault="009B7369" w:rsidP="00E32EDB">
            <w:pPr>
              <w:jc w:val="both"/>
              <w:rPr>
                <w:rFonts w:ascii="Times New Roman" w:hAnsi="Times New Roman"/>
                <w:b/>
                <w:bCs/>
                <w:sz w:val="24"/>
                <w:szCs w:val="24"/>
              </w:rPr>
            </w:pPr>
          </w:p>
        </w:tc>
        <w:tc>
          <w:tcPr>
            <w:tcW w:w="99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2010 г.</w:t>
            </w:r>
          </w:p>
        </w:tc>
        <w:tc>
          <w:tcPr>
            <w:tcW w:w="99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99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70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2010 г.</w:t>
            </w:r>
          </w:p>
        </w:tc>
        <w:tc>
          <w:tcPr>
            <w:tcW w:w="85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85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c>
          <w:tcPr>
            <w:tcW w:w="960"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2011 г.</w:t>
            </w:r>
          </w:p>
        </w:tc>
        <w:tc>
          <w:tcPr>
            <w:tcW w:w="885" w:type="dxa"/>
            <w:noWrap/>
            <w:hideMark/>
          </w:tcPr>
          <w:p w:rsidR="009B7369" w:rsidRPr="0028551C" w:rsidRDefault="009B7369" w:rsidP="00E32EDB">
            <w:pPr>
              <w:jc w:val="both"/>
              <w:rPr>
                <w:rFonts w:ascii="Times New Roman" w:hAnsi="Times New Roman"/>
                <w:b/>
                <w:bCs/>
                <w:sz w:val="24"/>
                <w:szCs w:val="24"/>
              </w:rPr>
            </w:pPr>
            <w:r w:rsidRPr="0028551C">
              <w:rPr>
                <w:rFonts w:ascii="Times New Roman" w:hAnsi="Times New Roman"/>
                <w:b/>
                <w:bCs/>
                <w:sz w:val="24"/>
                <w:szCs w:val="24"/>
              </w:rPr>
              <w:t>2012 г.</w:t>
            </w:r>
          </w:p>
        </w:tc>
      </w:tr>
      <w:tr w:rsidR="009B7369" w:rsidRPr="0028551C" w:rsidTr="00E32EDB">
        <w:tc>
          <w:tcPr>
            <w:tcW w:w="30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w:t>
            </w:r>
          </w:p>
        </w:tc>
        <w:tc>
          <w:tcPr>
            <w:tcW w:w="184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Дебетовые, в т.ч.</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52867</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54176</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61207</w:t>
            </w:r>
          </w:p>
        </w:tc>
        <w:tc>
          <w:tcPr>
            <w:tcW w:w="7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96,0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99,3</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99,7</w:t>
            </w:r>
          </w:p>
        </w:tc>
        <w:tc>
          <w:tcPr>
            <w:tcW w:w="9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1309</w:t>
            </w:r>
          </w:p>
        </w:tc>
        <w:tc>
          <w:tcPr>
            <w:tcW w:w="88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7031</w:t>
            </w:r>
          </w:p>
        </w:tc>
      </w:tr>
      <w:tr w:rsidR="009B7369" w:rsidRPr="0028551C" w:rsidTr="00E32EDB">
        <w:tc>
          <w:tcPr>
            <w:tcW w:w="30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w:t>
            </w:r>
          </w:p>
        </w:tc>
        <w:tc>
          <w:tcPr>
            <w:tcW w:w="184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с овердрафтом</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2759</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2465</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2000</w:t>
            </w:r>
          </w:p>
        </w:tc>
        <w:tc>
          <w:tcPr>
            <w:tcW w:w="7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4,5</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3,3</w:t>
            </w:r>
          </w:p>
        </w:tc>
        <w:tc>
          <w:tcPr>
            <w:tcW w:w="9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-294</w:t>
            </w:r>
          </w:p>
        </w:tc>
        <w:tc>
          <w:tcPr>
            <w:tcW w:w="88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-465</w:t>
            </w:r>
          </w:p>
        </w:tc>
      </w:tr>
      <w:tr w:rsidR="009B7369" w:rsidRPr="0028551C" w:rsidTr="00E32EDB">
        <w:tc>
          <w:tcPr>
            <w:tcW w:w="30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w:t>
            </w:r>
          </w:p>
        </w:tc>
        <w:tc>
          <w:tcPr>
            <w:tcW w:w="184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Кредитные</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1014</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359</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186</w:t>
            </w:r>
          </w:p>
        </w:tc>
        <w:tc>
          <w:tcPr>
            <w:tcW w:w="7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1,8</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0,7</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0,3</w:t>
            </w:r>
          </w:p>
        </w:tc>
        <w:tc>
          <w:tcPr>
            <w:tcW w:w="9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-655</w:t>
            </w:r>
          </w:p>
        </w:tc>
        <w:tc>
          <w:tcPr>
            <w:tcW w:w="88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-173</w:t>
            </w:r>
          </w:p>
        </w:tc>
      </w:tr>
      <w:tr w:rsidR="009B7369" w:rsidRPr="0028551C" w:rsidTr="00E32EDB">
        <w:tc>
          <w:tcPr>
            <w:tcW w:w="30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4</w:t>
            </w:r>
          </w:p>
        </w:tc>
        <w:tc>
          <w:tcPr>
            <w:tcW w:w="184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Предоплаченны</w:t>
            </w:r>
            <w:r w:rsidRPr="0028551C">
              <w:rPr>
                <w:rFonts w:ascii="Times New Roman" w:hAnsi="Times New Roman"/>
                <w:sz w:val="24"/>
                <w:szCs w:val="24"/>
              </w:rPr>
              <w:lastRenderedPageBreak/>
              <w:t>е</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lastRenderedPageBreak/>
              <w:t>1170</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0</w:t>
            </w:r>
          </w:p>
        </w:tc>
        <w:tc>
          <w:tcPr>
            <w:tcW w:w="7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2,2</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w:t>
            </w:r>
          </w:p>
        </w:tc>
        <w:tc>
          <w:tcPr>
            <w:tcW w:w="9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-1170</w:t>
            </w:r>
          </w:p>
        </w:tc>
        <w:tc>
          <w:tcPr>
            <w:tcW w:w="88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w:t>
            </w:r>
          </w:p>
        </w:tc>
      </w:tr>
      <w:tr w:rsidR="009B7369" w:rsidRPr="0028551C" w:rsidTr="00E32EDB">
        <w:tc>
          <w:tcPr>
            <w:tcW w:w="30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lastRenderedPageBreak/>
              <w:t>5</w:t>
            </w:r>
          </w:p>
        </w:tc>
        <w:tc>
          <w:tcPr>
            <w:tcW w:w="184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Всего</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55051</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54535</w:t>
            </w:r>
          </w:p>
        </w:tc>
        <w:tc>
          <w:tcPr>
            <w:tcW w:w="99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61393</w:t>
            </w:r>
          </w:p>
        </w:tc>
        <w:tc>
          <w:tcPr>
            <w:tcW w:w="70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100</w:t>
            </w:r>
          </w:p>
        </w:tc>
        <w:tc>
          <w:tcPr>
            <w:tcW w:w="85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100</w:t>
            </w:r>
          </w:p>
        </w:tc>
        <w:tc>
          <w:tcPr>
            <w:tcW w:w="960"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-516</w:t>
            </w:r>
          </w:p>
        </w:tc>
        <w:tc>
          <w:tcPr>
            <w:tcW w:w="885" w:type="dxa"/>
            <w:noWrap/>
            <w:hideMark/>
          </w:tcPr>
          <w:p w:rsidR="009B7369" w:rsidRPr="0028551C" w:rsidRDefault="009B7369" w:rsidP="00E32EDB">
            <w:pPr>
              <w:jc w:val="both"/>
              <w:rPr>
                <w:rFonts w:ascii="Times New Roman" w:hAnsi="Times New Roman"/>
                <w:sz w:val="24"/>
                <w:szCs w:val="24"/>
              </w:rPr>
            </w:pPr>
            <w:r w:rsidRPr="0028551C">
              <w:rPr>
                <w:rFonts w:ascii="Times New Roman" w:hAnsi="Times New Roman"/>
                <w:sz w:val="24"/>
                <w:szCs w:val="24"/>
              </w:rPr>
              <w:t>6858</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Изучая таблицу </w:t>
      </w:r>
      <w:r w:rsidR="00B52721">
        <w:rPr>
          <w:rFonts w:ascii="Times New Roman" w:hAnsi="Times New Roman" w:cs="Times New Roman"/>
          <w:sz w:val="28"/>
          <w:szCs w:val="28"/>
          <w:lang w:eastAsia="ru-RU"/>
        </w:rPr>
        <w:t>3.10</w:t>
      </w:r>
      <w:r w:rsidRPr="002830CA">
        <w:rPr>
          <w:rFonts w:ascii="Times New Roman" w:hAnsi="Times New Roman" w:cs="Times New Roman"/>
          <w:sz w:val="28"/>
          <w:szCs w:val="28"/>
          <w:lang w:eastAsia="ru-RU"/>
        </w:rPr>
        <w:t xml:space="preserve">, можно увидеть, что </w:t>
      </w:r>
      <w:r>
        <w:rPr>
          <w:rFonts w:ascii="Times New Roman" w:hAnsi="Times New Roman" w:cs="Times New Roman"/>
          <w:sz w:val="28"/>
          <w:szCs w:val="28"/>
          <w:lang w:eastAsia="ru-RU"/>
        </w:rPr>
        <w:t>МоскомПриватБанк</w:t>
      </w:r>
      <w:r w:rsidRPr="002830CA">
        <w:rPr>
          <w:rFonts w:ascii="Times New Roman" w:hAnsi="Times New Roman" w:cs="Times New Roman"/>
          <w:sz w:val="28"/>
          <w:szCs w:val="28"/>
          <w:lang w:eastAsia="ru-RU"/>
        </w:rPr>
        <w:t xml:space="preserve"> ориентируется на выпуск дебетовых карт, потому что такие карты пользуются большим спросом, в частности у клиентов – физических лиц, так как имеют ряд преимуществ: они недороги в обслуживании и просты в обращении. Большинство дебетовых карт выпускается банком в рамках зарплатных проектов. В </w:t>
      </w:r>
      <w:r>
        <w:rPr>
          <w:rFonts w:ascii="Times New Roman" w:hAnsi="Times New Roman" w:cs="Times New Roman"/>
          <w:sz w:val="28"/>
          <w:szCs w:val="28"/>
          <w:lang w:eastAsia="ru-RU"/>
        </w:rPr>
        <w:t>2010</w:t>
      </w:r>
      <w:r w:rsidRPr="002830CA">
        <w:rPr>
          <w:rFonts w:ascii="Times New Roman" w:hAnsi="Times New Roman" w:cs="Times New Roman"/>
          <w:sz w:val="28"/>
          <w:szCs w:val="28"/>
          <w:lang w:eastAsia="ru-RU"/>
        </w:rPr>
        <w:t xml:space="preserve"> году их количество было равно 52867 шт., что составляло 96% от всего объема эмиссии, 1,8% эмиссии составляли кредитные карты (1014 шт.) и 2,2% (1170 шт.) – предоплаченные карты. В последующих годах банк не выпускал предоплаченных карт в связи со снижением спроса на такие продукты.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количество кредитных карт уменьшилось на 655 шт. и составило 0,7% от общей эмиссии карт, что говорит о том, что условия и тарифы по кредитным картам банка являются недостаточно привлекательными. Количество дебетовых карт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составило 54176 шт. (99,3% от эмитированных карт), 2465 карт из которых – с овердрафтом. Количество карт с овердрафтом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уменьшилось до 2000 шт., что составляет 3,3% от всех эмитированных банком карт. Общее количество карт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возросло за счет увеличения до 61393 шт. количества дебетовых карт. Число кредитных карт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продолжило снижаться и составило 0,3% или 186 шт. На основании этого можно судить о том, что клиенты банка предпочитают пользоваться средствами, которые имеются на их счетах и не спешат воспользоваться кредитными средствами, поэтому </w:t>
      </w:r>
      <w:r w:rsidR="0047305B">
        <w:rPr>
          <w:rFonts w:ascii="Times New Roman" w:hAnsi="Times New Roman" w:cs="Times New Roman"/>
          <w:sz w:val="28"/>
          <w:szCs w:val="28"/>
          <w:lang w:eastAsia="ru-RU"/>
        </w:rPr>
        <w:t>о</w:t>
      </w:r>
      <w:r w:rsidR="0047305B" w:rsidRPr="002830CA">
        <w:rPr>
          <w:rFonts w:ascii="Times New Roman" w:hAnsi="Times New Roman" w:cs="Times New Roman"/>
          <w:sz w:val="28"/>
          <w:szCs w:val="28"/>
          <w:lang w:eastAsia="ru-RU"/>
        </w:rPr>
        <w:t>риентируется,</w:t>
      </w:r>
      <w:r w:rsidRPr="002830CA">
        <w:rPr>
          <w:rFonts w:ascii="Times New Roman" w:hAnsi="Times New Roman" w:cs="Times New Roman"/>
          <w:sz w:val="28"/>
          <w:szCs w:val="28"/>
          <w:lang w:eastAsia="ru-RU"/>
        </w:rPr>
        <w:t xml:space="preserve"> прежде </w:t>
      </w:r>
      <w:r w:rsidR="0047305B" w:rsidRPr="002830CA">
        <w:rPr>
          <w:rFonts w:ascii="Times New Roman" w:hAnsi="Times New Roman" w:cs="Times New Roman"/>
          <w:sz w:val="28"/>
          <w:szCs w:val="28"/>
          <w:lang w:eastAsia="ru-RU"/>
        </w:rPr>
        <w:t>всего,</w:t>
      </w:r>
      <w:r w:rsidRPr="002830CA">
        <w:rPr>
          <w:rFonts w:ascii="Times New Roman" w:hAnsi="Times New Roman" w:cs="Times New Roman"/>
          <w:sz w:val="28"/>
          <w:szCs w:val="28"/>
          <w:lang w:eastAsia="ru-RU"/>
        </w:rPr>
        <w:t xml:space="preserve"> на распространение дебетовых карт, а именно реализацию индивидуальных карт и зарплатных проектов.</w:t>
      </w:r>
    </w:p>
    <w:p w:rsidR="00B52721" w:rsidRPr="0058267B" w:rsidRDefault="009B7369" w:rsidP="0058267B">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Держатели пластиковых карт используют их следующими путями: либо как инструмент безналичных расчетов при оплате товаров и услуг, либо для снятия наличности (что в принципе отрицает пластиковую карту как </w:t>
      </w:r>
      <w:r w:rsidRPr="002830CA">
        <w:rPr>
          <w:rFonts w:ascii="Times New Roman" w:hAnsi="Times New Roman" w:cs="Times New Roman"/>
          <w:sz w:val="28"/>
          <w:szCs w:val="28"/>
          <w:lang w:eastAsia="ru-RU"/>
        </w:rPr>
        <w:lastRenderedPageBreak/>
        <w:t>инструмент безналичных расчетов).</w:t>
      </w:r>
      <w:r w:rsidR="0058267B">
        <w:rPr>
          <w:rStyle w:val="af0"/>
          <w:rFonts w:ascii="Times New Roman" w:hAnsi="Times New Roman" w:cs="Times New Roman"/>
          <w:sz w:val="28"/>
          <w:szCs w:val="28"/>
          <w:lang w:eastAsia="ru-RU"/>
        </w:rPr>
        <w:footnoteReference w:id="16"/>
      </w:r>
      <w:r w:rsidRPr="002830CA">
        <w:rPr>
          <w:rFonts w:ascii="Times New Roman" w:hAnsi="Times New Roman" w:cs="Times New Roman"/>
          <w:sz w:val="28"/>
          <w:szCs w:val="28"/>
          <w:lang w:eastAsia="ru-RU"/>
        </w:rPr>
        <w:t xml:space="preserve"> Структурно-динамический анализ операций держателей с пластиковыми картами представлен в табл. </w:t>
      </w:r>
      <w:r w:rsidR="00B52721">
        <w:rPr>
          <w:rFonts w:ascii="Times New Roman" w:hAnsi="Times New Roman" w:cs="Times New Roman"/>
          <w:sz w:val="28"/>
          <w:szCs w:val="28"/>
          <w:lang w:eastAsia="ru-RU"/>
        </w:rPr>
        <w:t>3.10</w:t>
      </w:r>
      <w:r w:rsidRPr="002830CA">
        <w:rPr>
          <w:rFonts w:ascii="Times New Roman" w:hAnsi="Times New Roman" w:cs="Times New Roman"/>
          <w:sz w:val="28"/>
          <w:szCs w:val="28"/>
          <w:lang w:eastAsia="ru-RU"/>
        </w:rPr>
        <w:t>.</w:t>
      </w:r>
    </w:p>
    <w:p w:rsidR="009B7369" w:rsidRPr="002F5EBA" w:rsidRDefault="009B7369" w:rsidP="0058267B">
      <w:pPr>
        <w:spacing w:after="0" w:line="360" w:lineRule="auto"/>
        <w:ind w:firstLine="709"/>
        <w:jc w:val="both"/>
        <w:rPr>
          <w:rFonts w:ascii="Times New Roman" w:hAnsi="Times New Roman" w:cs="Times New Roman"/>
          <w:sz w:val="28"/>
          <w:szCs w:val="28"/>
          <w:lang w:eastAsia="ru-RU"/>
        </w:rPr>
      </w:pPr>
      <w:r w:rsidRPr="002F5EBA">
        <w:rPr>
          <w:rFonts w:ascii="Times New Roman" w:hAnsi="Times New Roman" w:cs="Times New Roman"/>
          <w:bCs/>
          <w:sz w:val="28"/>
          <w:szCs w:val="28"/>
          <w:lang w:eastAsia="ru-RU"/>
        </w:rPr>
        <w:t xml:space="preserve">Таблица </w:t>
      </w:r>
      <w:r w:rsidR="00B52721">
        <w:rPr>
          <w:rFonts w:ascii="Times New Roman" w:hAnsi="Times New Roman" w:cs="Times New Roman"/>
          <w:bCs/>
          <w:sz w:val="28"/>
          <w:szCs w:val="28"/>
          <w:lang w:eastAsia="ru-RU"/>
        </w:rPr>
        <w:t>3.10</w:t>
      </w:r>
      <w:r w:rsidRPr="002F5EBA">
        <w:rPr>
          <w:rFonts w:ascii="Times New Roman" w:hAnsi="Times New Roman" w:cs="Times New Roman"/>
          <w:bCs/>
          <w:sz w:val="28"/>
          <w:szCs w:val="28"/>
          <w:lang w:eastAsia="ru-RU"/>
        </w:rPr>
        <w:t xml:space="preserve">. Динамика операций, совершенных с помощью карт </w:t>
      </w:r>
      <w:r>
        <w:rPr>
          <w:rFonts w:ascii="Times New Roman" w:hAnsi="Times New Roman" w:cs="Times New Roman"/>
          <w:sz w:val="28"/>
          <w:szCs w:val="28"/>
          <w:lang w:eastAsia="ru-RU"/>
        </w:rPr>
        <w:t>ПриватБанка</w:t>
      </w:r>
    </w:p>
    <w:tbl>
      <w:tblPr>
        <w:tblStyle w:val="21"/>
        <w:tblW w:w="5000" w:type="pct"/>
        <w:tblLook w:val="04A0"/>
      </w:tblPr>
      <w:tblGrid>
        <w:gridCol w:w="560"/>
        <w:gridCol w:w="1526"/>
        <w:gridCol w:w="1056"/>
        <w:gridCol w:w="1056"/>
        <w:gridCol w:w="1056"/>
        <w:gridCol w:w="1116"/>
        <w:gridCol w:w="1116"/>
        <w:gridCol w:w="1035"/>
        <w:gridCol w:w="1050"/>
      </w:tblGrid>
      <w:tr w:rsidR="009B7369" w:rsidRPr="002F5EBA" w:rsidTr="00E32EDB">
        <w:tc>
          <w:tcPr>
            <w:tcW w:w="510"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 п/п</w:t>
            </w:r>
          </w:p>
        </w:tc>
        <w:tc>
          <w:tcPr>
            <w:tcW w:w="1770"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Показатель</w:t>
            </w:r>
          </w:p>
        </w:tc>
        <w:tc>
          <w:tcPr>
            <w:tcW w:w="2955" w:type="dxa"/>
            <w:gridSpan w:val="3"/>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Значение</w:t>
            </w:r>
          </w:p>
        </w:tc>
        <w:tc>
          <w:tcPr>
            <w:tcW w:w="2085" w:type="dxa"/>
            <w:gridSpan w:val="2"/>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Абсолютное изменение</w:t>
            </w:r>
          </w:p>
        </w:tc>
        <w:tc>
          <w:tcPr>
            <w:tcW w:w="2085" w:type="dxa"/>
            <w:gridSpan w:val="2"/>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Темп роста, %</w:t>
            </w:r>
          </w:p>
        </w:tc>
      </w:tr>
      <w:tr w:rsidR="009B7369" w:rsidRPr="002F5EBA" w:rsidTr="00E32EDB">
        <w:tc>
          <w:tcPr>
            <w:tcW w:w="0" w:type="auto"/>
            <w:vMerge/>
            <w:hideMark/>
          </w:tcPr>
          <w:p w:rsidR="009B7369" w:rsidRPr="002F5EBA" w:rsidRDefault="009B7369" w:rsidP="00E32EDB">
            <w:pPr>
              <w:jc w:val="both"/>
              <w:rPr>
                <w:rFonts w:ascii="Times New Roman" w:hAnsi="Times New Roman"/>
                <w:b/>
                <w:bCs/>
                <w:sz w:val="24"/>
                <w:szCs w:val="24"/>
              </w:rPr>
            </w:pPr>
          </w:p>
        </w:tc>
        <w:tc>
          <w:tcPr>
            <w:tcW w:w="0" w:type="auto"/>
            <w:vMerge/>
            <w:hideMark/>
          </w:tcPr>
          <w:p w:rsidR="009B7369" w:rsidRPr="002F5EBA" w:rsidRDefault="009B7369" w:rsidP="00E32EDB">
            <w:pPr>
              <w:jc w:val="both"/>
              <w:rPr>
                <w:rFonts w:ascii="Times New Roman" w:hAnsi="Times New Roman"/>
                <w:b/>
                <w:bCs/>
                <w:sz w:val="24"/>
                <w:szCs w:val="24"/>
              </w:rPr>
            </w:pPr>
          </w:p>
        </w:tc>
        <w:tc>
          <w:tcPr>
            <w:tcW w:w="990"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2010 г.</w:t>
            </w:r>
          </w:p>
        </w:tc>
        <w:tc>
          <w:tcPr>
            <w:tcW w:w="990"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2011 г.</w:t>
            </w:r>
          </w:p>
        </w:tc>
        <w:tc>
          <w:tcPr>
            <w:tcW w:w="990"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2012 г.</w:t>
            </w:r>
          </w:p>
        </w:tc>
        <w:tc>
          <w:tcPr>
            <w:tcW w:w="1035"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2011 г.</w:t>
            </w:r>
          </w:p>
        </w:tc>
        <w:tc>
          <w:tcPr>
            <w:tcW w:w="1035"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2012 г.</w:t>
            </w:r>
          </w:p>
        </w:tc>
        <w:tc>
          <w:tcPr>
            <w:tcW w:w="1035"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2011 г.</w:t>
            </w:r>
          </w:p>
        </w:tc>
        <w:tc>
          <w:tcPr>
            <w:tcW w:w="1035" w:type="dxa"/>
            <w:noWrap/>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2012 г.</w:t>
            </w:r>
          </w:p>
        </w:tc>
      </w:tr>
      <w:tr w:rsidR="009B7369" w:rsidRPr="002F5EBA" w:rsidTr="00E32EDB">
        <w:tc>
          <w:tcPr>
            <w:tcW w:w="510" w:type="dxa"/>
            <w:vMerge w:val="restart"/>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w:t>
            </w:r>
          </w:p>
        </w:tc>
        <w:tc>
          <w:tcPr>
            <w:tcW w:w="8895" w:type="dxa"/>
            <w:gridSpan w:val="8"/>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Платежи за товары (работы, услуги)</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количество, ед.</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218027</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214054</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244132</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-3973</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30078</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-1,8</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14,1</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сумма, тыс. руб.</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83938</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86569</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113245</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2631</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26676</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3,1</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30,8</w:t>
            </w:r>
          </w:p>
        </w:tc>
      </w:tr>
      <w:tr w:rsidR="009B7369" w:rsidRPr="002F5EBA" w:rsidTr="00E32EDB">
        <w:tc>
          <w:tcPr>
            <w:tcW w:w="510" w:type="dxa"/>
            <w:vMerge w:val="restart"/>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w:t>
            </w:r>
          </w:p>
        </w:tc>
        <w:tc>
          <w:tcPr>
            <w:tcW w:w="8895" w:type="dxa"/>
            <w:gridSpan w:val="8"/>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Получение наличных денег</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количество, ед.</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598595</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500690</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573270</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-97905</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72580</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-16,4</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14,5</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сумма, тыс. руб.</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3338293</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3620824</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2832979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282531</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-787845</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8,5</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-21,8</w:t>
            </w:r>
          </w:p>
        </w:tc>
      </w:tr>
      <w:tr w:rsidR="009B7369" w:rsidRPr="002F5EBA" w:rsidTr="00E32EDB">
        <w:tc>
          <w:tcPr>
            <w:tcW w:w="510" w:type="dxa"/>
            <w:vMerge w:val="restart"/>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w:t>
            </w:r>
          </w:p>
        </w:tc>
        <w:tc>
          <w:tcPr>
            <w:tcW w:w="8895" w:type="dxa"/>
            <w:gridSpan w:val="8"/>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Прочие операции</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количество, ед.</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0</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2979</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4003</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2979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1024</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34,4</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сумма, тыс. руб.</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0</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8421,91</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58682</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8421,91</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50260,09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596,8</w:t>
            </w:r>
          </w:p>
        </w:tc>
      </w:tr>
      <w:tr w:rsidR="009B7369" w:rsidRPr="002F5EBA" w:rsidTr="00E32EDB">
        <w:tc>
          <w:tcPr>
            <w:tcW w:w="510" w:type="dxa"/>
            <w:vMerge w:val="restart"/>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4</w:t>
            </w:r>
          </w:p>
        </w:tc>
        <w:tc>
          <w:tcPr>
            <w:tcW w:w="8895" w:type="dxa"/>
            <w:gridSpan w:val="8"/>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Всего</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количество, ед.</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816622</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717723</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821405</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-98899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103682</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-12,1</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14,4</w:t>
            </w:r>
          </w:p>
        </w:tc>
      </w:tr>
      <w:tr w:rsidR="009B7369" w:rsidRPr="002F5EBA" w:rsidTr="00E32EDB">
        <w:tc>
          <w:tcPr>
            <w:tcW w:w="0" w:type="auto"/>
            <w:vMerge/>
            <w:hideMark/>
          </w:tcPr>
          <w:p w:rsidR="009B7369" w:rsidRPr="002F5EBA" w:rsidRDefault="009B7369" w:rsidP="00E32EDB">
            <w:pPr>
              <w:jc w:val="both"/>
              <w:rPr>
                <w:rFonts w:ascii="Times New Roman" w:hAnsi="Times New Roman"/>
                <w:sz w:val="24"/>
                <w:szCs w:val="24"/>
              </w:rPr>
            </w:pPr>
          </w:p>
        </w:tc>
        <w:tc>
          <w:tcPr>
            <w:tcW w:w="177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сумма, тыс. руб.</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3422231</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3715815</w:t>
            </w:r>
          </w:p>
        </w:tc>
        <w:tc>
          <w:tcPr>
            <w:tcW w:w="990"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3004906</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293583,9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-710909</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8,6</w:t>
            </w:r>
          </w:p>
        </w:tc>
        <w:tc>
          <w:tcPr>
            <w:tcW w:w="1035" w:type="dxa"/>
            <w:noWrap/>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-19,1</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Как видно из таблицы </w:t>
      </w:r>
      <w:r w:rsidR="00B52721">
        <w:rPr>
          <w:rFonts w:ascii="Times New Roman" w:hAnsi="Times New Roman" w:cs="Times New Roman"/>
          <w:sz w:val="28"/>
          <w:szCs w:val="28"/>
          <w:lang w:eastAsia="ru-RU"/>
        </w:rPr>
        <w:t>3.10</w:t>
      </w:r>
      <w:r w:rsidRPr="002830CA">
        <w:rPr>
          <w:rFonts w:ascii="Times New Roman" w:hAnsi="Times New Roman" w:cs="Times New Roman"/>
          <w:sz w:val="28"/>
          <w:szCs w:val="28"/>
          <w:lang w:eastAsia="ru-RU"/>
        </w:rPr>
        <w:t xml:space="preserve">, количество платежей за товары (работы, услуги)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уменьшилось по сравнению с предыдущим годом на 3973 ед., что говорит о снижении востребованности безналичных расчетов, однако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данный показатель вырос на 14,1% и составил 244132 операций. Это объясняется проведением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w:t>
      </w:r>
      <w:r>
        <w:rPr>
          <w:rFonts w:ascii="Times New Roman" w:hAnsi="Times New Roman" w:cs="Times New Roman"/>
          <w:sz w:val="28"/>
          <w:szCs w:val="28"/>
          <w:lang w:eastAsia="ru-RU"/>
        </w:rPr>
        <w:t xml:space="preserve">МоскомПриватБанком </w:t>
      </w:r>
      <w:r w:rsidRPr="002830CA">
        <w:rPr>
          <w:rFonts w:ascii="Times New Roman" w:hAnsi="Times New Roman" w:cs="Times New Roman"/>
          <w:sz w:val="28"/>
          <w:szCs w:val="28"/>
          <w:lang w:eastAsia="ru-RU"/>
        </w:rPr>
        <w:t xml:space="preserve">мероприятий, направленных на популяризацию безналичной оплаты по банковским картам. Количество операций по получению наличных денег в </w:t>
      </w:r>
      <w:r>
        <w:rPr>
          <w:rFonts w:ascii="Times New Roman" w:hAnsi="Times New Roman" w:cs="Times New Roman"/>
          <w:sz w:val="28"/>
          <w:szCs w:val="28"/>
          <w:lang w:eastAsia="ru-RU"/>
        </w:rPr>
        <w:t>2011</w:t>
      </w:r>
      <w:r w:rsidRPr="002830CA">
        <w:rPr>
          <w:rFonts w:ascii="Times New Roman" w:hAnsi="Times New Roman" w:cs="Times New Roman"/>
          <w:sz w:val="28"/>
          <w:szCs w:val="28"/>
          <w:lang w:eastAsia="ru-RU"/>
        </w:rPr>
        <w:t xml:space="preserve"> году уменьшилось на 16,4%, а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 увеличилось на 14,5%. Сумма данных операций в </w:t>
      </w:r>
      <w:r>
        <w:rPr>
          <w:rFonts w:ascii="Times New Roman" w:hAnsi="Times New Roman" w:cs="Times New Roman"/>
          <w:sz w:val="28"/>
          <w:szCs w:val="28"/>
          <w:lang w:eastAsia="ru-RU"/>
        </w:rPr>
        <w:t>2012</w:t>
      </w:r>
      <w:r w:rsidRPr="002830CA">
        <w:rPr>
          <w:rFonts w:ascii="Times New Roman" w:hAnsi="Times New Roman" w:cs="Times New Roman"/>
          <w:sz w:val="28"/>
          <w:szCs w:val="28"/>
          <w:lang w:eastAsia="ru-RU"/>
        </w:rPr>
        <w:t xml:space="preserve"> году существенно уменьшилась и составила 2832979 тыс. рублей. Это позволяет сделать вывод о том, что пластиковые </w:t>
      </w:r>
      <w:r w:rsidRPr="002830CA">
        <w:rPr>
          <w:rFonts w:ascii="Times New Roman" w:hAnsi="Times New Roman" w:cs="Times New Roman"/>
          <w:sz w:val="28"/>
          <w:szCs w:val="28"/>
          <w:lang w:eastAsia="ru-RU"/>
        </w:rPr>
        <w:lastRenderedPageBreak/>
        <w:t>карты все больше начинают использоваться по их прямому назначению, то есть для безналичной оплаты товаров и услуг, а не для снятия наличных денег. Рост безналичных операций обусловлен развитием системы оплаты штрафов и госпошлин ГИБДД, оплатой коммунальных услуг, услуг телефонной связи и т.д. при помощи банковских карт в банкоматах и терминалах.</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Несмотря на возросшую популярность пластиковых карт как инструмента безналичных платежей, все-таки наибольшим спросом у клиентов по-прежнему пользуются операции по получению наличных денег, что объясняется, в первую очередь, недостаточной степенью распространенности POS-терминалов в торговых точках розничных продаж.</w:t>
      </w:r>
      <w:r w:rsidR="0058267B">
        <w:rPr>
          <w:rStyle w:val="af0"/>
          <w:rFonts w:ascii="Times New Roman" w:hAnsi="Times New Roman" w:cs="Times New Roman"/>
          <w:sz w:val="28"/>
          <w:szCs w:val="28"/>
          <w:lang w:eastAsia="ru-RU"/>
        </w:rPr>
        <w:footnoteReference w:id="17"/>
      </w:r>
      <w:r w:rsidRPr="002830CA">
        <w:rPr>
          <w:rFonts w:ascii="Times New Roman" w:hAnsi="Times New Roman" w:cs="Times New Roman"/>
          <w:sz w:val="28"/>
          <w:szCs w:val="28"/>
          <w:lang w:eastAsia="ru-RU"/>
        </w:rPr>
        <w:t xml:space="preserve"> Лишь поэтому количество платежей за товары (работы, услуги) составляет 29,7% от всего количества операций с картами.</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Немаловажными для результатов анализа являются исследования структуры выпущенных пластиковых карт по платежным системам. Рассмотрим динамику объемов выпущенных карт в разбивке по видам (табл. </w:t>
      </w:r>
      <w:r w:rsidR="00B52721">
        <w:rPr>
          <w:rFonts w:ascii="Times New Roman" w:hAnsi="Times New Roman" w:cs="Times New Roman"/>
          <w:sz w:val="28"/>
          <w:szCs w:val="28"/>
          <w:lang w:eastAsia="ru-RU"/>
        </w:rPr>
        <w:t>3.11</w:t>
      </w:r>
      <w:r w:rsidRPr="002830CA">
        <w:rPr>
          <w:rFonts w:ascii="Times New Roman" w:hAnsi="Times New Roman" w:cs="Times New Roman"/>
          <w:sz w:val="28"/>
          <w:szCs w:val="28"/>
          <w:lang w:eastAsia="ru-RU"/>
        </w:rPr>
        <w:t>).</w:t>
      </w:r>
    </w:p>
    <w:p w:rsidR="009B7369" w:rsidRPr="002F5EBA" w:rsidRDefault="009B7369" w:rsidP="009B7369">
      <w:pPr>
        <w:spacing w:after="0" w:line="360" w:lineRule="auto"/>
        <w:jc w:val="both"/>
        <w:rPr>
          <w:rFonts w:ascii="Times New Roman" w:hAnsi="Times New Roman" w:cs="Times New Roman"/>
          <w:sz w:val="28"/>
          <w:szCs w:val="28"/>
          <w:lang w:eastAsia="ru-RU"/>
        </w:rPr>
      </w:pPr>
      <w:r w:rsidRPr="002F5EBA">
        <w:rPr>
          <w:rFonts w:ascii="Times New Roman" w:hAnsi="Times New Roman" w:cs="Times New Roman"/>
          <w:bCs/>
          <w:sz w:val="28"/>
          <w:szCs w:val="28"/>
          <w:lang w:eastAsia="ru-RU"/>
        </w:rPr>
        <w:t xml:space="preserve">Таблица </w:t>
      </w:r>
      <w:r w:rsidR="00B52721">
        <w:rPr>
          <w:rFonts w:ascii="Times New Roman" w:hAnsi="Times New Roman" w:cs="Times New Roman"/>
          <w:bCs/>
          <w:sz w:val="28"/>
          <w:szCs w:val="28"/>
          <w:lang w:eastAsia="ru-RU"/>
        </w:rPr>
        <w:t>3.11</w:t>
      </w:r>
      <w:r w:rsidRPr="002F5EBA">
        <w:rPr>
          <w:rFonts w:ascii="Times New Roman" w:hAnsi="Times New Roman" w:cs="Times New Roman"/>
          <w:bCs/>
          <w:sz w:val="28"/>
          <w:szCs w:val="28"/>
          <w:lang w:eastAsia="ru-RU"/>
        </w:rPr>
        <w:t xml:space="preserve">. Динамика объемов выпущенных пластиковых карт </w:t>
      </w:r>
      <w:r>
        <w:rPr>
          <w:rFonts w:ascii="Times New Roman" w:hAnsi="Times New Roman" w:cs="Times New Roman"/>
          <w:sz w:val="28"/>
          <w:szCs w:val="28"/>
          <w:lang w:eastAsia="ru-RU"/>
        </w:rPr>
        <w:t>ПриватБанка</w:t>
      </w:r>
    </w:p>
    <w:tbl>
      <w:tblPr>
        <w:tblStyle w:val="21"/>
        <w:tblW w:w="4923" w:type="pct"/>
        <w:tblLook w:val="04A0"/>
      </w:tblPr>
      <w:tblGrid>
        <w:gridCol w:w="2688"/>
        <w:gridCol w:w="2408"/>
        <w:gridCol w:w="2300"/>
        <w:gridCol w:w="2028"/>
      </w:tblGrid>
      <w:tr w:rsidR="009B7369" w:rsidRPr="002F5EBA" w:rsidTr="00E32EDB">
        <w:trPr>
          <w:trHeight w:val="279"/>
        </w:trPr>
        <w:tc>
          <w:tcPr>
            <w:tcW w:w="2688"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Вид пластиковой карты</w:t>
            </w:r>
          </w:p>
        </w:tc>
        <w:tc>
          <w:tcPr>
            <w:tcW w:w="2408"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Visa Electron</w:t>
            </w:r>
          </w:p>
        </w:tc>
        <w:tc>
          <w:tcPr>
            <w:tcW w:w="2300"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VISA Classic</w:t>
            </w:r>
          </w:p>
        </w:tc>
        <w:tc>
          <w:tcPr>
            <w:tcW w:w="2028" w:type="dxa"/>
            <w:vMerge w:val="restart"/>
            <w:hideMark/>
          </w:tcPr>
          <w:p w:rsidR="009B7369" w:rsidRPr="002F5EBA" w:rsidRDefault="009B7369" w:rsidP="00E32EDB">
            <w:pPr>
              <w:jc w:val="both"/>
              <w:rPr>
                <w:rFonts w:ascii="Times New Roman" w:hAnsi="Times New Roman"/>
                <w:b/>
                <w:bCs/>
                <w:sz w:val="24"/>
                <w:szCs w:val="24"/>
              </w:rPr>
            </w:pPr>
            <w:r w:rsidRPr="002F5EBA">
              <w:rPr>
                <w:rFonts w:ascii="Times New Roman" w:hAnsi="Times New Roman"/>
                <w:b/>
                <w:bCs/>
                <w:sz w:val="24"/>
                <w:szCs w:val="24"/>
              </w:rPr>
              <w:t>VISA-Gold</w:t>
            </w:r>
          </w:p>
        </w:tc>
      </w:tr>
      <w:tr w:rsidR="009B7369" w:rsidRPr="002F5EBA" w:rsidTr="00E32EDB">
        <w:trPr>
          <w:trHeight w:val="279"/>
        </w:trPr>
        <w:tc>
          <w:tcPr>
            <w:tcW w:w="0" w:type="auto"/>
            <w:vMerge/>
            <w:hideMark/>
          </w:tcPr>
          <w:p w:rsidR="009B7369" w:rsidRPr="002F5EBA" w:rsidRDefault="009B7369" w:rsidP="00E32EDB">
            <w:pPr>
              <w:jc w:val="both"/>
              <w:rPr>
                <w:rFonts w:ascii="Times New Roman" w:hAnsi="Times New Roman"/>
                <w:b/>
                <w:bCs/>
                <w:sz w:val="24"/>
                <w:szCs w:val="24"/>
              </w:rPr>
            </w:pPr>
          </w:p>
        </w:tc>
        <w:tc>
          <w:tcPr>
            <w:tcW w:w="0" w:type="auto"/>
            <w:vMerge/>
            <w:hideMark/>
          </w:tcPr>
          <w:p w:rsidR="009B7369" w:rsidRPr="002F5EBA" w:rsidRDefault="009B7369" w:rsidP="00E32EDB">
            <w:pPr>
              <w:jc w:val="both"/>
              <w:rPr>
                <w:rFonts w:ascii="Times New Roman" w:hAnsi="Times New Roman"/>
                <w:b/>
                <w:bCs/>
                <w:sz w:val="24"/>
                <w:szCs w:val="24"/>
              </w:rPr>
            </w:pPr>
          </w:p>
        </w:tc>
        <w:tc>
          <w:tcPr>
            <w:tcW w:w="0" w:type="auto"/>
            <w:vMerge/>
            <w:hideMark/>
          </w:tcPr>
          <w:p w:rsidR="009B7369" w:rsidRPr="002F5EBA" w:rsidRDefault="009B7369" w:rsidP="00E32EDB">
            <w:pPr>
              <w:jc w:val="both"/>
              <w:rPr>
                <w:rFonts w:ascii="Times New Roman" w:hAnsi="Times New Roman"/>
                <w:b/>
                <w:bCs/>
                <w:sz w:val="24"/>
                <w:szCs w:val="24"/>
              </w:rPr>
            </w:pPr>
          </w:p>
        </w:tc>
        <w:tc>
          <w:tcPr>
            <w:tcW w:w="0" w:type="auto"/>
            <w:vMerge/>
            <w:hideMark/>
          </w:tcPr>
          <w:p w:rsidR="009B7369" w:rsidRPr="002F5EBA" w:rsidRDefault="009B7369" w:rsidP="00E32EDB">
            <w:pPr>
              <w:jc w:val="both"/>
              <w:rPr>
                <w:rFonts w:ascii="Times New Roman" w:hAnsi="Times New Roman"/>
                <w:b/>
                <w:bCs/>
                <w:sz w:val="24"/>
                <w:szCs w:val="24"/>
              </w:rPr>
            </w:pPr>
          </w:p>
        </w:tc>
      </w:tr>
      <w:tr w:rsidR="009B7369" w:rsidRPr="002F5EBA" w:rsidTr="00E32EDB">
        <w:trPr>
          <w:trHeight w:val="288"/>
        </w:trPr>
        <w:tc>
          <w:tcPr>
            <w:tcW w:w="268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20</w:t>
            </w:r>
            <w:r>
              <w:rPr>
                <w:rFonts w:ascii="Times New Roman" w:hAnsi="Times New Roman"/>
                <w:sz w:val="24"/>
                <w:szCs w:val="24"/>
              </w:rPr>
              <w:t>10</w:t>
            </w:r>
          </w:p>
        </w:tc>
        <w:tc>
          <w:tcPr>
            <w:tcW w:w="240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 670</w:t>
            </w:r>
          </w:p>
        </w:tc>
        <w:tc>
          <w:tcPr>
            <w:tcW w:w="230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356</w:t>
            </w:r>
          </w:p>
        </w:tc>
        <w:tc>
          <w:tcPr>
            <w:tcW w:w="202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150</w:t>
            </w:r>
          </w:p>
        </w:tc>
      </w:tr>
      <w:tr w:rsidR="009B7369" w:rsidRPr="002F5EBA" w:rsidTr="00E32EDB">
        <w:trPr>
          <w:trHeight w:val="273"/>
        </w:trPr>
        <w:tc>
          <w:tcPr>
            <w:tcW w:w="268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w:t>
            </w:r>
            <w:r>
              <w:rPr>
                <w:rFonts w:ascii="Times New Roman" w:hAnsi="Times New Roman"/>
                <w:sz w:val="24"/>
                <w:szCs w:val="24"/>
              </w:rPr>
              <w:t>011</w:t>
            </w:r>
          </w:p>
        </w:tc>
        <w:tc>
          <w:tcPr>
            <w:tcW w:w="240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1 076</w:t>
            </w:r>
          </w:p>
        </w:tc>
        <w:tc>
          <w:tcPr>
            <w:tcW w:w="230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693</w:t>
            </w:r>
          </w:p>
        </w:tc>
        <w:tc>
          <w:tcPr>
            <w:tcW w:w="202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319</w:t>
            </w:r>
          </w:p>
        </w:tc>
      </w:tr>
      <w:tr w:rsidR="009B7369" w:rsidRPr="002F5EBA" w:rsidTr="00E32EDB">
        <w:trPr>
          <w:trHeight w:val="273"/>
        </w:trPr>
        <w:tc>
          <w:tcPr>
            <w:tcW w:w="268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20</w:t>
            </w:r>
            <w:r>
              <w:rPr>
                <w:rFonts w:ascii="Times New Roman" w:hAnsi="Times New Roman"/>
                <w:sz w:val="24"/>
                <w:szCs w:val="24"/>
              </w:rPr>
              <w:t>12</w:t>
            </w:r>
          </w:p>
        </w:tc>
        <w:tc>
          <w:tcPr>
            <w:tcW w:w="240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1 293</w:t>
            </w:r>
          </w:p>
        </w:tc>
        <w:tc>
          <w:tcPr>
            <w:tcW w:w="2300"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920</w:t>
            </w:r>
          </w:p>
        </w:tc>
        <w:tc>
          <w:tcPr>
            <w:tcW w:w="2028" w:type="dxa"/>
            <w:hideMark/>
          </w:tcPr>
          <w:p w:rsidR="009B7369" w:rsidRPr="002F5EBA" w:rsidRDefault="009B7369" w:rsidP="00E32EDB">
            <w:pPr>
              <w:jc w:val="both"/>
              <w:rPr>
                <w:rFonts w:ascii="Times New Roman" w:hAnsi="Times New Roman"/>
                <w:sz w:val="24"/>
                <w:szCs w:val="24"/>
              </w:rPr>
            </w:pPr>
            <w:r w:rsidRPr="002F5EBA">
              <w:rPr>
                <w:rFonts w:ascii="Times New Roman" w:hAnsi="Times New Roman"/>
                <w:sz w:val="24"/>
                <w:szCs w:val="24"/>
              </w:rPr>
              <w:t>530</w:t>
            </w:r>
          </w:p>
        </w:tc>
      </w:tr>
    </w:tbl>
    <w:p w:rsidR="009B7369" w:rsidRDefault="009B7369" w:rsidP="009B7369">
      <w:pPr>
        <w:spacing w:after="0" w:line="360" w:lineRule="auto"/>
        <w:jc w:val="both"/>
        <w:rPr>
          <w:rFonts w:ascii="Times New Roman" w:hAnsi="Times New Roman" w:cs="Times New Roman"/>
          <w:sz w:val="28"/>
          <w:szCs w:val="28"/>
          <w:lang w:eastAsia="ru-RU"/>
        </w:rPr>
      </w:pPr>
    </w:p>
    <w:p w:rsidR="009B7369"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Анализ показал, что наименьший объем в структуре выпущенных пластиковых карт занимают карты VISA-Gold, что объясняется тем, что данный вид карт выдается VIP клиентам, которых в банке в общей структуре клиентской базы не более 3%. </w:t>
      </w:r>
    </w:p>
    <w:p w:rsidR="009B7369" w:rsidRPr="002830CA" w:rsidRDefault="009B7369" w:rsidP="009B7369">
      <w:pPr>
        <w:spacing w:after="0" w:line="360" w:lineRule="auto"/>
        <w:ind w:firstLine="709"/>
        <w:jc w:val="both"/>
        <w:rPr>
          <w:rFonts w:ascii="Times New Roman" w:hAnsi="Times New Roman" w:cs="Times New Roman"/>
          <w:sz w:val="28"/>
          <w:szCs w:val="28"/>
          <w:lang w:eastAsia="ru-RU"/>
        </w:rPr>
      </w:pPr>
      <w:r w:rsidRPr="002830CA">
        <w:rPr>
          <w:rFonts w:ascii="Times New Roman" w:hAnsi="Times New Roman" w:cs="Times New Roman"/>
          <w:sz w:val="28"/>
          <w:szCs w:val="28"/>
          <w:lang w:eastAsia="ru-RU"/>
        </w:rPr>
        <w:t xml:space="preserve">Исходя из приведенных данных, можно отразить общие тенденции изменения сети банкоматов и электронных терминалов банка. С увеличением </w:t>
      </w:r>
      <w:r w:rsidRPr="002830CA">
        <w:rPr>
          <w:rFonts w:ascii="Times New Roman" w:hAnsi="Times New Roman" w:cs="Times New Roman"/>
          <w:sz w:val="28"/>
          <w:szCs w:val="28"/>
          <w:lang w:eastAsia="ru-RU"/>
        </w:rPr>
        <w:lastRenderedPageBreak/>
        <w:t>количества держателей карточек банк улучшает свою техническую оснащенность – закупает терминалы, банкоматы, увеличивает количество пунктов обслуживания пластиковых карт.</w:t>
      </w:r>
    </w:p>
    <w:p w:rsidR="00C54059" w:rsidRDefault="00C54059" w:rsidP="00C54059"/>
    <w:p w:rsidR="009B7369" w:rsidRDefault="009B7369"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413AEB" w:rsidRDefault="00413AEB" w:rsidP="00C54059"/>
    <w:p w:rsidR="005F1DF9" w:rsidRPr="005F1DF9" w:rsidRDefault="005F1DF9" w:rsidP="005F1DF9">
      <w:pPr>
        <w:autoSpaceDE w:val="0"/>
        <w:autoSpaceDN w:val="0"/>
        <w:adjustRightInd w:val="0"/>
        <w:ind w:firstLine="567"/>
        <w:rPr>
          <w:rFonts w:ascii="Times New Roman" w:hAnsi="Times New Roman" w:cs="Times New Roman"/>
          <w:color w:val="000000"/>
          <w:sz w:val="28"/>
          <w:szCs w:val="28"/>
        </w:rPr>
      </w:pPr>
      <w:bookmarkStart w:id="14" w:name="_Toc360362457"/>
      <w:r w:rsidRPr="005F1DF9">
        <w:rPr>
          <w:rFonts w:ascii="Times New Roman" w:hAnsi="Times New Roman" w:cs="Times New Roman"/>
          <w:b/>
          <w:sz w:val="28"/>
          <w:szCs w:val="28"/>
        </w:rPr>
        <w:lastRenderedPageBreak/>
        <w:t>4.Методика оценки кредитоспособности заемщика в ЗАО МКБ «Москомприватбанк»</w:t>
      </w:r>
    </w:p>
    <w:p w:rsidR="005F1DF9" w:rsidRPr="005F1DF9" w:rsidRDefault="005F1DF9" w:rsidP="0058267B">
      <w:pPr>
        <w:ind w:firstLine="709"/>
        <w:jc w:val="both"/>
        <w:rPr>
          <w:rFonts w:ascii="Times New Roman" w:hAnsi="Times New Roman" w:cs="Times New Roman"/>
          <w:sz w:val="28"/>
          <w:szCs w:val="28"/>
        </w:rPr>
      </w:pPr>
      <w:r w:rsidRPr="005F1DF9">
        <w:rPr>
          <w:rFonts w:ascii="Times New Roman" w:hAnsi="Times New Roman" w:cs="Times New Roman"/>
          <w:sz w:val="28"/>
          <w:szCs w:val="28"/>
        </w:rPr>
        <w:t>Опишем процесс предоставления кредита частному клиенту в ЗАО МКБ «Москомприватбанк».</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После идентификации потенциального заёмщика сотрудник кредитного отдела начинает процесс принятия решения посредством получения информации у данного заёмщика с тем, чтобы решить, совместима ли его просьба о предоставлении кредита с текущей политикой банка. Далее сотрудник должен определить, для чего заёмщику нужны запрашиваемые средства. Настоящая причина может не всегда совпадать с названной заёмщиком. Узнав настоящую причину, сотрудник банка сможет определить соответствующую структуру кредита по срокам, составить график его погашения и найти подходящий для этого вид кредита.</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Важным шагом процесса предоставления кредита является встреча с потенциальным заёмщиком. Объективная беседа с заёмщиком позволит сделать правильную оценку кредитоспособности потенциального заемщика, определить его характер и действительную цель запрашиваемого кредита.</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После того как сотрудник банка ознакомился с заявкой клиента, объективно оценил его возможности и потребности, ему необходимо провести анализ источников погашения кредита. Этот анализ, выявляющий первичные и вторичные источники погашения, поможет сотруднику определить, следует ли принять или отклонить заявку клиента на получение кредита. Для того чтобы определить вероятность погашения кредита, сотрудник банка должен исследовать слабые и сильные стороны клиента, оценить заявку клиента с точки зрения его финансовой возможности. </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Основные этапы работы сотрудника кредитного отдела ЗАО МКБ «Москомприватбанк» по оценке возможности предоставления кредита выглядят следующим образом:</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lastRenderedPageBreak/>
        <w:t>1. Определение целевого использования заемных средств.</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2. Определение источника погашения кредита. </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3. Оценка рисков, присущих данному заемщику.</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4. Анализ платежеспособности заемщика.</w:t>
      </w:r>
    </w:p>
    <w:p w:rsidR="005F1DF9" w:rsidRPr="005F1DF9" w:rsidRDefault="005F1DF9" w:rsidP="0058267B">
      <w:pPr>
        <w:spacing w:line="360" w:lineRule="auto"/>
        <w:ind w:firstLine="709"/>
        <w:jc w:val="both"/>
        <w:rPr>
          <w:rFonts w:ascii="Times New Roman" w:hAnsi="Times New Roman" w:cs="Times New Roman"/>
          <w:spacing w:val="1"/>
          <w:sz w:val="28"/>
          <w:szCs w:val="28"/>
        </w:rPr>
      </w:pPr>
      <w:r w:rsidRPr="005F1DF9">
        <w:rPr>
          <w:rFonts w:ascii="Times New Roman" w:hAnsi="Times New Roman" w:cs="Times New Roman"/>
          <w:spacing w:val="1"/>
          <w:sz w:val="28"/>
          <w:szCs w:val="28"/>
        </w:rPr>
        <w:t xml:space="preserve">Основными источниками оценки платежеспособности заемщика являются: </w:t>
      </w:r>
    </w:p>
    <w:p w:rsidR="005F1DF9" w:rsidRPr="005F1DF9" w:rsidRDefault="005F1DF9" w:rsidP="0058267B">
      <w:pPr>
        <w:numPr>
          <w:ilvl w:val="0"/>
          <w:numId w:val="4"/>
        </w:numPr>
        <w:tabs>
          <w:tab w:val="num" w:pos="1080"/>
        </w:tabs>
        <w:spacing w:after="0" w:line="360" w:lineRule="auto"/>
        <w:ind w:left="0" w:firstLine="709"/>
        <w:jc w:val="both"/>
        <w:rPr>
          <w:rFonts w:ascii="Times New Roman" w:hAnsi="Times New Roman" w:cs="Times New Roman"/>
          <w:spacing w:val="1"/>
          <w:sz w:val="28"/>
          <w:szCs w:val="28"/>
        </w:rPr>
      </w:pPr>
      <w:r w:rsidRPr="005F1DF9">
        <w:rPr>
          <w:rFonts w:ascii="Times New Roman" w:hAnsi="Times New Roman" w:cs="Times New Roman"/>
          <w:spacing w:val="1"/>
          <w:sz w:val="28"/>
          <w:szCs w:val="28"/>
        </w:rPr>
        <w:t>Заявление-анкета;</w:t>
      </w:r>
    </w:p>
    <w:p w:rsidR="005F1DF9" w:rsidRPr="005F1DF9" w:rsidRDefault="005F1DF9" w:rsidP="0058267B">
      <w:pPr>
        <w:numPr>
          <w:ilvl w:val="0"/>
          <w:numId w:val="4"/>
        </w:numPr>
        <w:tabs>
          <w:tab w:val="num" w:pos="1080"/>
        </w:tabs>
        <w:spacing w:after="0" w:line="360" w:lineRule="auto"/>
        <w:ind w:left="0" w:firstLine="709"/>
        <w:jc w:val="both"/>
        <w:rPr>
          <w:rFonts w:ascii="Times New Roman" w:hAnsi="Times New Roman" w:cs="Times New Roman"/>
          <w:spacing w:val="1"/>
          <w:sz w:val="28"/>
          <w:szCs w:val="28"/>
        </w:rPr>
      </w:pPr>
      <w:r w:rsidRPr="005F1DF9">
        <w:rPr>
          <w:rFonts w:ascii="Times New Roman" w:hAnsi="Times New Roman" w:cs="Times New Roman"/>
          <w:spacing w:val="1"/>
          <w:sz w:val="28"/>
          <w:szCs w:val="28"/>
        </w:rPr>
        <w:t>Справка о доходах с постоянного места работы;</w:t>
      </w:r>
    </w:p>
    <w:p w:rsidR="005F1DF9" w:rsidRPr="005F1DF9" w:rsidRDefault="005F1DF9" w:rsidP="0058267B">
      <w:pPr>
        <w:numPr>
          <w:ilvl w:val="0"/>
          <w:numId w:val="4"/>
        </w:numPr>
        <w:tabs>
          <w:tab w:val="num" w:pos="1080"/>
        </w:tabs>
        <w:spacing w:after="0" w:line="360" w:lineRule="auto"/>
        <w:ind w:left="0" w:firstLine="709"/>
        <w:jc w:val="both"/>
        <w:rPr>
          <w:rFonts w:ascii="Times New Roman" w:hAnsi="Times New Roman" w:cs="Times New Roman"/>
          <w:spacing w:val="1"/>
          <w:sz w:val="28"/>
          <w:szCs w:val="28"/>
        </w:rPr>
      </w:pPr>
      <w:r w:rsidRPr="005F1DF9">
        <w:rPr>
          <w:rFonts w:ascii="Times New Roman" w:hAnsi="Times New Roman" w:cs="Times New Roman"/>
          <w:spacing w:val="1"/>
          <w:sz w:val="28"/>
          <w:szCs w:val="28"/>
        </w:rPr>
        <w:t>Сведения полученные непосредственно от самого заемщика.</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Среди недостатков деятельности кредитного отдела ЗАО МКБ «Москомприватбанк» можно отметить следующие:</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излишняя централизация кредитного руководства;</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поверхностный анализ платежеспособности заёмщиков;</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недостаточно частые контакты с клиентом;</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отсутствие контроля над займами;</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неполная кредитная документация.</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Эти недостатки выливаются в слабость кредитного портфеля, включая чрезмерную концентрацию кредитов, предоставляемых в одной отрасли, большие портфели неработающих кредитов, убытки по кредитам, неплатёжеспособность и не ликвидность.</w:t>
      </w: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Методика оценки кредитоспособности частного клиента строится по принципу методики кредитного скоринга. </w:t>
      </w:r>
    </w:p>
    <w:p w:rsidR="005F1DF9" w:rsidRPr="005F1DF9" w:rsidRDefault="005F1DF9" w:rsidP="0058267B">
      <w:pPr>
        <w:spacing w:line="360" w:lineRule="auto"/>
        <w:ind w:firstLine="709"/>
        <w:jc w:val="both"/>
        <w:rPr>
          <w:rFonts w:ascii="Times New Roman" w:hAnsi="Times New Roman" w:cs="Times New Roman"/>
          <w:sz w:val="28"/>
          <w:szCs w:val="28"/>
        </w:rPr>
      </w:pPr>
    </w:p>
    <w:p w:rsidR="005F1DF9" w:rsidRPr="005F1DF9" w:rsidRDefault="005F1DF9" w:rsidP="0058267B">
      <w:pPr>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lastRenderedPageBreak/>
        <w:t>Таблица 1 Пример оценки кредитоспособности индивидуального клиента Москомприватбанка (физического лица)</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0"/>
        <w:gridCol w:w="2912"/>
        <w:gridCol w:w="2109"/>
        <w:gridCol w:w="1960"/>
      </w:tblGrid>
      <w:tr w:rsidR="005F1DF9" w:rsidRPr="005F1DF9" w:rsidTr="00F6489B">
        <w:trPr>
          <w:trHeight w:val="607"/>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Показатели</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Баллы</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Критериальный уровень</w:t>
            </w:r>
          </w:p>
        </w:tc>
        <w:tc>
          <w:tcPr>
            <w:tcW w:w="206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Конкретный клиент</w:t>
            </w:r>
          </w:p>
        </w:tc>
      </w:tr>
      <w:tr w:rsidR="005F1DF9" w:rsidRPr="005F1DF9" w:rsidTr="00F6489B">
        <w:trPr>
          <w:trHeight w:val="641"/>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Совокупный годовой доход (тыс. руб.)</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Менее 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 – 20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 – 40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40 – 60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60</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60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15</w:t>
            </w:r>
          </w:p>
        </w:tc>
      </w:tr>
      <w:tr w:rsidR="005F1DF9" w:rsidRPr="005F1DF9" w:rsidTr="00F6489B">
        <w:trPr>
          <w:trHeight w:val="577"/>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Ежемесячный платеж в погашение ссуды (в %)</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40%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30 - 40%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 – 30%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 – 20%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Менее 10%</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w:t>
            </w:r>
          </w:p>
        </w:tc>
      </w:tr>
      <w:tr w:rsidR="005F1DF9" w:rsidRPr="005F1DF9" w:rsidTr="00F6489B">
        <w:trPr>
          <w:trHeight w:val="471"/>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Долги заёмщика: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 прочим кредитным институтам;</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 налоговым органам</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10% размера ссуды</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Менее 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10% размера ссуды</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Менее 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Нет</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tc>
      </w:tr>
      <w:tr w:rsidR="005F1DF9" w:rsidRPr="005F1DF9" w:rsidTr="00F6489B">
        <w:trPr>
          <w:trHeight w:val="563"/>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Период обслуживания в данном банке</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 1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1-2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2-3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3-5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5-10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 и более лет</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tc>
      </w:tr>
      <w:tr w:rsidR="005F1DF9" w:rsidRPr="005F1DF9" w:rsidTr="00F6489B">
        <w:trPr>
          <w:trHeight w:val="537"/>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История кредитных отношений</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Любые нарушения в течение последних 3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Нет сведений</w:t>
            </w:r>
          </w:p>
        </w:tc>
        <w:tc>
          <w:tcPr>
            <w:tcW w:w="1724"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w:t>
            </w: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tc>
      </w:tr>
      <w:tr w:rsidR="005F1DF9" w:rsidRPr="005F1DF9" w:rsidTr="00F6489B">
        <w:trPr>
          <w:trHeight w:val="772"/>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Наличие банковских счетов</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Имеет счет до востребования</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Счета до востребования и сберегательные</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 востребования и другие счета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Только счет сберегательный</w:t>
            </w:r>
          </w:p>
        </w:tc>
        <w:tc>
          <w:tcPr>
            <w:tcW w:w="1724"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40</w:t>
            </w: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40</w:t>
            </w:r>
          </w:p>
        </w:tc>
      </w:tr>
      <w:tr w:rsidR="005F1DF9" w:rsidRPr="005F1DF9" w:rsidTr="00F6489B">
        <w:trPr>
          <w:trHeight w:val="838"/>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Владение пластиковыми картами (кредитными, дебетовыми)</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 и более</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Нет ответа</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30</w:t>
            </w:r>
          </w:p>
        </w:tc>
      </w:tr>
      <w:tr w:rsidR="005F1DF9" w:rsidRPr="005F1DF9" w:rsidTr="00F6489B">
        <w:trPr>
          <w:trHeight w:val="694"/>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Возраст заемщика</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 50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Свыше 50</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25</w:t>
            </w:r>
          </w:p>
        </w:tc>
        <w:tc>
          <w:tcPr>
            <w:tcW w:w="206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tc>
      </w:tr>
      <w:tr w:rsidR="005F1DF9" w:rsidRPr="005F1DF9" w:rsidTr="00F6489B">
        <w:trPr>
          <w:trHeight w:val="602"/>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Статус резидента</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Владелец квартиры/дома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Приобретает квартиру</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Арендатор</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Проживает с родителями</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Другие варианты</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40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tc>
        <w:tc>
          <w:tcPr>
            <w:tcW w:w="206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tc>
      </w:tr>
      <w:tr w:rsidR="005F1DF9" w:rsidRPr="005F1DF9" w:rsidTr="00F6489B">
        <w:trPr>
          <w:trHeight w:val="629"/>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Срок проживания по последнему адресу</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 1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1-2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2-4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4 лет</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35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tc>
      </w:tr>
      <w:tr w:rsidR="005F1DF9" w:rsidRPr="005F1DF9" w:rsidTr="00F6489B">
        <w:trPr>
          <w:trHeight w:val="484"/>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Срок работы на одном предприятии (рабочем месте)</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До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1-2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2-4 года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Более 4 лет</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Пенсионер</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Безработный</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70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70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5</w:t>
            </w:r>
          </w:p>
        </w:tc>
        <w:tc>
          <w:tcPr>
            <w:tcW w:w="2063" w:type="dxa"/>
            <w:tcBorders>
              <w:top w:val="single" w:sz="4" w:space="0" w:color="auto"/>
              <w:left w:val="single" w:sz="4" w:space="0" w:color="auto"/>
              <w:bottom w:val="single" w:sz="4" w:space="0" w:color="auto"/>
              <w:right w:val="single" w:sz="4" w:space="0" w:color="auto"/>
            </w:tcBorders>
          </w:tcPr>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70</w:t>
            </w:r>
          </w:p>
        </w:tc>
      </w:tr>
      <w:tr w:rsidR="005F1DF9" w:rsidRPr="005F1DF9" w:rsidTr="00F6489B">
        <w:trPr>
          <w:trHeight w:val="576"/>
          <w:jc w:val="center"/>
        </w:trPr>
        <w:tc>
          <w:tcPr>
            <w:tcW w:w="191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Итого:</w:t>
            </w:r>
          </w:p>
        </w:tc>
        <w:tc>
          <w:tcPr>
            <w:tcW w:w="3231"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Выдача ссуды</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Экспертная оценка</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Отказ в выдаче ссуды</w:t>
            </w:r>
          </w:p>
        </w:tc>
        <w:tc>
          <w:tcPr>
            <w:tcW w:w="1724"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Более 300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200-300</w:t>
            </w: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Менее 200</w:t>
            </w:r>
          </w:p>
        </w:tc>
        <w:tc>
          <w:tcPr>
            <w:tcW w:w="2063" w:type="dxa"/>
            <w:tcBorders>
              <w:top w:val="single" w:sz="4" w:space="0" w:color="auto"/>
              <w:left w:val="single" w:sz="4" w:space="0" w:color="auto"/>
              <w:bottom w:val="single" w:sz="4" w:space="0" w:color="auto"/>
              <w:right w:val="single" w:sz="4" w:space="0" w:color="auto"/>
            </w:tcBorders>
            <w:hideMark/>
          </w:tcPr>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lastRenderedPageBreak/>
              <w:t>315</w:t>
            </w:r>
          </w:p>
        </w:tc>
      </w:tr>
    </w:tbl>
    <w:p w:rsidR="005F1DF9" w:rsidRPr="005F1DF9" w:rsidRDefault="005F1DF9" w:rsidP="005F1DF9">
      <w:pPr>
        <w:spacing w:line="360" w:lineRule="auto"/>
        <w:ind w:firstLine="709"/>
        <w:rPr>
          <w:rFonts w:ascii="Times New Roman" w:hAnsi="Times New Roman" w:cs="Times New Roman"/>
          <w:sz w:val="28"/>
          <w:szCs w:val="28"/>
        </w:rPr>
      </w:pPr>
    </w:p>
    <w:p w:rsidR="005F1DF9" w:rsidRPr="005F1DF9" w:rsidRDefault="005F1DF9" w:rsidP="005F1DF9">
      <w:pPr>
        <w:spacing w:line="360" w:lineRule="auto"/>
        <w:rPr>
          <w:rFonts w:ascii="Times New Roman" w:hAnsi="Times New Roman" w:cs="Times New Roman"/>
          <w:sz w:val="28"/>
          <w:szCs w:val="28"/>
        </w:rPr>
      </w:pPr>
      <w:r w:rsidRPr="005F1DF9">
        <w:rPr>
          <w:rFonts w:ascii="Times New Roman" w:hAnsi="Times New Roman" w:cs="Times New Roman"/>
          <w:sz w:val="28"/>
          <w:szCs w:val="28"/>
        </w:rPr>
        <w:t xml:space="preserve">               Таким образом, можно вывести заключение о данном заемщике, что он может получить кредит (ссуду) на общих основаниях. Размер ссуды будет рассмотрен в зависимости от срока оплаты и наличия поручителей, либо залога, а также его целевого назначения.</w:t>
      </w:r>
    </w:p>
    <w:p w:rsidR="005F1DF9" w:rsidRPr="005F1DF9" w:rsidRDefault="005F1DF9" w:rsidP="005F1DF9">
      <w:pPr>
        <w:pStyle w:val="33"/>
        <w:tabs>
          <w:tab w:val="right" w:pos="1701"/>
        </w:tabs>
        <w:ind w:firstLine="709"/>
        <w:rPr>
          <w:rFonts w:cs="Times New Roman"/>
          <w:sz w:val="28"/>
          <w:szCs w:val="28"/>
        </w:rPr>
      </w:pPr>
      <w:r w:rsidRPr="005F1DF9">
        <w:rPr>
          <w:rFonts w:cs="Times New Roman"/>
          <w:sz w:val="28"/>
          <w:szCs w:val="28"/>
        </w:rPr>
        <w:t>Хочется отметить, что развитие кредитных отношений населения с банками – это вопрос не только экономический, но и политический, и социальный. Помимо необходимой экономической и политической стабильности, разработки коммерческими банками социально – ориентированной кредитной политики во взаимоотношениях с населением, он требует также модернизации форм и методов кредитования, совершенствования кредитов, использования опыта зарубежных стран с рыночной экономикой.</w:t>
      </w:r>
      <w:r w:rsidR="0058267B">
        <w:rPr>
          <w:rStyle w:val="af0"/>
          <w:rFonts w:cs="Times New Roman"/>
          <w:sz w:val="28"/>
          <w:szCs w:val="28"/>
        </w:rPr>
        <w:footnoteReference w:id="18"/>
      </w:r>
    </w:p>
    <w:p w:rsidR="005F1DF9" w:rsidRPr="005F1DF9" w:rsidRDefault="005F1DF9" w:rsidP="005F1DF9">
      <w:pPr>
        <w:pStyle w:val="33"/>
        <w:tabs>
          <w:tab w:val="right" w:pos="1701"/>
        </w:tabs>
        <w:ind w:firstLine="709"/>
        <w:rPr>
          <w:rFonts w:cs="Times New Roman"/>
          <w:sz w:val="28"/>
          <w:szCs w:val="28"/>
        </w:rPr>
      </w:pPr>
      <w:r w:rsidRPr="005F1DF9">
        <w:rPr>
          <w:rFonts w:cs="Times New Roman"/>
          <w:sz w:val="28"/>
          <w:szCs w:val="28"/>
        </w:rPr>
        <w:t>Основной рекомендацией будет то, что банку необходимо немного ужесточить кредитную политику и качественнее проводить оценку кредитоспособности заемщиков. Это позволит банку отсеять клиентов, которые в последующем не смогут выполнять свои обязательства перед банком. Также это поможет повысить качество кредитного портфеля банка, что особенно необходимо сейчас в условиях нестабильности мировой экономики.</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Процесс оценки кредитоспособности можно разделить на 3 этапа</w:t>
      </w:r>
      <w:r w:rsidR="0058267B">
        <w:rPr>
          <w:rStyle w:val="af0"/>
          <w:rFonts w:ascii="Times New Roman" w:hAnsi="Times New Roman" w:cs="Times New Roman"/>
          <w:sz w:val="28"/>
          <w:szCs w:val="28"/>
        </w:rPr>
        <w:footnoteReference w:id="19"/>
      </w:r>
      <w:r w:rsidRPr="005F1DF9">
        <w:rPr>
          <w:rFonts w:ascii="Times New Roman" w:hAnsi="Times New Roman" w:cs="Times New Roman"/>
          <w:sz w:val="28"/>
          <w:szCs w:val="28"/>
        </w:rPr>
        <w:t>:</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Количественный анализ: расчет основных и дополнительных финансовых коэффициентов;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Качественный анализ (анализ рисков);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lastRenderedPageBreak/>
        <w:t>Определение рейтинга потенциального заемщика.</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Количественный анализ. Для оценки финансового состояния заемщика используются три группы оценочных показателей:</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коэффициенты ликвидности (Ки К2, К3);</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 наличия собственных средств (КА);</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показатель оборачиваемости и рентабельности (К5, К6).</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Коэффициенты ликвидности</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Коэффициенты ликвидности характеризуют обеспеченность предприятия оборотными средствами для ведения хозяйственной деятельности и своевременного погашения срочных обязательств.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 абсолютной ликвидности К1 характеризует способность к моментальному погашению долговых обязательств. Расчет выглядит следующим образом:</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noProof/>
          <w:sz w:val="28"/>
          <w:szCs w:val="28"/>
          <w:lang w:eastAsia="ru-RU"/>
        </w:rPr>
        <w:drawing>
          <wp:inline distT="0" distB="0" distL="0" distR="0">
            <wp:extent cx="3943350" cy="447675"/>
            <wp:effectExtent l="19050" t="0" r="0" b="0"/>
            <wp:docPr id="2" name="Рисунок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9" cstate="print"/>
                    <a:srcRect/>
                    <a:stretch>
                      <a:fillRect/>
                    </a:stretch>
                  </pic:blipFill>
                  <pic:spPr bwMode="auto">
                    <a:xfrm>
                      <a:off x="0" y="0"/>
                      <a:ext cx="394335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(1)</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Под высоколиквидными краткосрочными бумагами (стр. 253 Форма 1) в данном случае понимаются только государственные ценные бумаги и ценные бумаги Банка. При отсутствии соответствующей информации строка 253 при расчете К1 не учитывается.</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Промежуточный коэффициент покрытия К2 характеризует способность предприятия оперативно высвободить из хозяйственного оборота денежные средства и погасить долговые обязательства. К2 определяется как :</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noProof/>
          <w:sz w:val="28"/>
          <w:szCs w:val="28"/>
          <w:lang w:eastAsia="ru-RU"/>
        </w:rPr>
        <w:lastRenderedPageBreak/>
        <w:drawing>
          <wp:inline distT="0" distB="0" distL="0" distR="0">
            <wp:extent cx="3924300" cy="447675"/>
            <wp:effectExtent l="19050" t="0" r="0" b="0"/>
            <wp:docPr id="3" name="Рисунок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0" cstate="print"/>
                    <a:srcRect/>
                    <a:stretch>
                      <a:fillRect/>
                    </a:stretch>
                  </pic:blipFill>
                  <pic:spPr bwMode="auto">
                    <a:xfrm>
                      <a:off x="0" y="0"/>
                      <a:ext cx="392430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(2)</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Для расчета этого коэффициента предварительно производится оценка групп статей "краткосрочные финансовые вложения" и "дебиторская задолженность (платежи по которой ожидаются в течение 12 месяцев после отчетной даты)". Указанные статьи уменьшаются на сумму финансовых вложений в неликвидные корпоративные бумаги и неплатежеспособные предприятия и сумму безнадежной дебиторской задолженности соответственно. Коэффициент текущей ликвидности (общий коэффициент покрытия) К3 является обобщающим показателем платежеспособности предприятия и показывает способность предприятия погашать текущие (краткосрочные) обязательства за счет только оборотных активов, в расчет которого в числителе включаются все оборотные активы, в том числе и материальные (итог раздела II баланса):</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noProof/>
          <w:sz w:val="28"/>
          <w:szCs w:val="28"/>
          <w:lang w:eastAsia="ru-RU"/>
        </w:rPr>
        <w:drawing>
          <wp:inline distT="0" distB="0" distL="0" distR="0">
            <wp:extent cx="3914775" cy="447675"/>
            <wp:effectExtent l="19050" t="0" r="9525" b="0"/>
            <wp:docPr id="4" name="Рисунок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31" cstate="print"/>
                    <a:srcRect/>
                    <a:stretch>
                      <a:fillRect/>
                    </a:stretch>
                  </pic:blipFill>
                  <pic:spPr bwMode="auto">
                    <a:xfrm>
                      <a:off x="0" y="0"/>
                      <a:ext cx="3914775"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(3)</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Для расчета К3 предварительно корректируется уже названные группы статей баланса, а также "дебиторская задолженность (платежи по которой ожидаются более чем через 12 месяцев)", "запасы" и "прочие оборотные активы" на сумму соответственно безнадежной дебиторской задолженности, неликвидных и труднореализуемых запасов и затрат и дебетового сальдо по счету 83 "Доходы будущих периодов" (курсовые разницы).</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Коэффициент наличия собственных средств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Коэффициент наличия собственных средств К4 показывает долю </w:t>
      </w:r>
      <w:r w:rsidRPr="005F1DF9">
        <w:rPr>
          <w:rFonts w:ascii="Times New Roman" w:hAnsi="Times New Roman" w:cs="Times New Roman"/>
          <w:sz w:val="28"/>
          <w:szCs w:val="28"/>
        </w:rPr>
        <w:lastRenderedPageBreak/>
        <w:t>собственных средств предприятия в общем объеме средств предприятия и определяется как:</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noProof/>
          <w:sz w:val="28"/>
          <w:szCs w:val="28"/>
          <w:lang w:eastAsia="ru-RU"/>
        </w:rPr>
        <w:drawing>
          <wp:inline distT="0" distB="0" distL="0" distR="0">
            <wp:extent cx="3714750" cy="447675"/>
            <wp:effectExtent l="19050" t="0" r="0" b="0"/>
            <wp:docPr id="5" name="Рисунок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2" cstate="print"/>
                    <a:srcRect/>
                    <a:stretch>
                      <a:fillRect/>
                    </a:stretch>
                  </pic:blipFill>
                  <pic:spPr bwMode="auto">
                    <a:xfrm>
                      <a:off x="0" y="0"/>
                      <a:ext cx="371475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(4)</w:t>
      </w:r>
    </w:p>
    <w:p w:rsidR="005F1DF9" w:rsidRPr="005F1DF9" w:rsidRDefault="005F1DF9" w:rsidP="005F1DF9">
      <w:pPr>
        <w:widowControl w:val="0"/>
        <w:autoSpaceDE w:val="0"/>
        <w:autoSpaceDN w:val="0"/>
        <w:adjustRightInd w:val="0"/>
        <w:spacing w:line="360" w:lineRule="auto"/>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Оборачиваемость разных элементов оборотных активов и кредиторской задолженности рассчитывается в днях исходя из объема дневных продаж (однодневной выручки от реализации). Объем дневных продаж рассчитывается делением выручки от реализации на число дней в периоде (90, 180, 270 или360). Средние (за период) величины оборотных активов и кредиторской задолженности рассчитываются как суммы половин величин на промежуточные даты, деленные на число слагаемых, уменьшенное на 1. Оборачиваемость оборотных активов (ОбОА) рассчитывается как отношение средней стоимости оборотных активов (по стр. 290 баланса) на объем дневных продаж:</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ОбОА = </w:t>
      </w:r>
      <w:r w:rsidRPr="005F1DF9">
        <w:rPr>
          <w:rFonts w:ascii="Times New Roman" w:hAnsi="Times New Roman" w:cs="Times New Roman"/>
          <w:noProof/>
          <w:sz w:val="28"/>
          <w:szCs w:val="28"/>
          <w:lang w:eastAsia="ru-RU"/>
        </w:rPr>
        <w:drawing>
          <wp:inline distT="0" distB="0" distL="0" distR="0">
            <wp:extent cx="2905125" cy="447675"/>
            <wp:effectExtent l="19050" t="0" r="9525" b="0"/>
            <wp:docPr id="6" name="Рисунок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3" cstate="print"/>
                    <a:srcRect/>
                    <a:stretch>
                      <a:fillRect/>
                    </a:stretch>
                  </pic:blipFill>
                  <pic:spPr bwMode="auto">
                    <a:xfrm>
                      <a:off x="0" y="0"/>
                      <a:ext cx="2905125"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(5)</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Оборачиваемость дебиторской задолженности (ОбДЗ) определяется как отношение средней стоимости дебиторской задолженности (по стр. 230 + 240 баланса) к объему дневных продаж:</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ОбДЗ = </w:t>
      </w:r>
      <w:r w:rsidRPr="005F1DF9">
        <w:rPr>
          <w:rFonts w:ascii="Times New Roman" w:hAnsi="Times New Roman" w:cs="Times New Roman"/>
          <w:noProof/>
          <w:sz w:val="28"/>
          <w:szCs w:val="28"/>
          <w:lang w:eastAsia="ru-RU"/>
        </w:rPr>
        <w:drawing>
          <wp:inline distT="0" distB="0" distL="0" distR="0">
            <wp:extent cx="4095750" cy="447675"/>
            <wp:effectExtent l="19050" t="0" r="0" b="0"/>
            <wp:docPr id="7" name="Рисунок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4" cstate="print"/>
                    <a:srcRect/>
                    <a:stretch>
                      <a:fillRect/>
                    </a:stretch>
                  </pic:blipFill>
                  <pic:spPr bwMode="auto">
                    <a:xfrm>
                      <a:off x="0" y="0"/>
                      <a:ext cx="409575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(6)</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Оборачиваемость запасов (ОбЗ) рассчитывается по формуле, в числителе которой: средняя стоимость запасов (по стр. 210 баланса), а в знаменателе: объем дневных продаж:</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ОбЗ = </w:t>
      </w:r>
      <w:r w:rsidRPr="005F1DF9">
        <w:rPr>
          <w:rFonts w:ascii="Times New Roman" w:hAnsi="Times New Roman" w:cs="Times New Roman"/>
          <w:noProof/>
          <w:sz w:val="28"/>
          <w:szCs w:val="28"/>
          <w:lang w:eastAsia="ru-RU"/>
        </w:rPr>
        <w:drawing>
          <wp:inline distT="0" distB="0" distL="0" distR="0">
            <wp:extent cx="2924175" cy="447675"/>
            <wp:effectExtent l="19050" t="0" r="9525" b="0"/>
            <wp:docPr id="8" name="Рисунок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5" cstate="print"/>
                    <a:srcRect/>
                    <a:stretch>
                      <a:fillRect/>
                    </a:stretch>
                  </pic:blipFill>
                  <pic:spPr bwMode="auto">
                    <a:xfrm>
                      <a:off x="0" y="0"/>
                      <a:ext cx="2924175"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(7)</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Собственный оборотный капитал определяется как разность между оборотными активами и краткосрочной задолженностью. Рассчитывается по формуле:</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СОК = </w:t>
      </w:r>
      <w:r w:rsidRPr="005F1DF9">
        <w:rPr>
          <w:rFonts w:ascii="Times New Roman" w:hAnsi="Times New Roman" w:cs="Times New Roman"/>
          <w:noProof/>
          <w:sz w:val="28"/>
          <w:szCs w:val="28"/>
          <w:lang w:eastAsia="ru-RU"/>
        </w:rPr>
        <w:drawing>
          <wp:inline distT="0" distB="0" distL="0" distR="0">
            <wp:extent cx="2286000" cy="190500"/>
            <wp:effectExtent l="19050" t="0" r="0" b="0"/>
            <wp:docPr id="9" name="Рисунок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6" cstate="print"/>
                    <a:srcRect/>
                    <a:stretch>
                      <a:fillRect/>
                    </a:stretch>
                  </pic:blipFill>
                  <pic:spPr bwMode="auto">
                    <a:xfrm>
                      <a:off x="0" y="0"/>
                      <a:ext cx="2286000" cy="190500"/>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(8)</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Аналогично при необходимости могут быть рассчитаны показатели оборачиваемости других элементов оборотных активов (готовой продукции, незавершенного производства, сырья и материалов) и кредиторской задолженности.</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Показатели рентабельности определяются в процентах или долях.</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Рентабельность продукции (или рентабельность продаж) К5 рассчитывается как отношении прибыли от реализации к выручке от реализации и показывает долю прибыли организации в каждом заработанном рубле. Расчет К5 выглядит следующим образом:</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К5 = </w:t>
      </w:r>
      <w:r w:rsidRPr="005F1DF9">
        <w:rPr>
          <w:rFonts w:ascii="Times New Roman" w:hAnsi="Times New Roman" w:cs="Times New Roman"/>
          <w:noProof/>
          <w:sz w:val="28"/>
          <w:szCs w:val="28"/>
          <w:lang w:eastAsia="ru-RU"/>
        </w:rPr>
        <w:drawing>
          <wp:inline distT="0" distB="0" distL="0" distR="0">
            <wp:extent cx="1104900" cy="447675"/>
            <wp:effectExtent l="19050" t="0" r="0" b="0"/>
            <wp:docPr id="10" name="Рисунок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7" cstate="print"/>
                    <a:srcRect/>
                    <a:stretch>
                      <a:fillRect/>
                    </a:stretch>
                  </pic:blipFill>
                  <pic:spPr bwMode="auto">
                    <a:xfrm>
                      <a:off x="0" y="0"/>
                      <a:ext cx="110490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(9)</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Для торговых организаций К5 рассчитывается как отношение прибыли от реализации к валовой прибыли:</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К5 (для торговых организаций) = </w:t>
      </w:r>
      <w:r w:rsidRPr="005F1DF9">
        <w:rPr>
          <w:rFonts w:ascii="Times New Roman" w:hAnsi="Times New Roman" w:cs="Times New Roman"/>
          <w:noProof/>
          <w:sz w:val="28"/>
          <w:szCs w:val="28"/>
          <w:lang w:eastAsia="ru-RU"/>
        </w:rPr>
        <w:drawing>
          <wp:inline distT="0" distB="0" distL="0" distR="0">
            <wp:extent cx="1104900" cy="447675"/>
            <wp:effectExtent l="19050" t="0" r="0" b="0"/>
            <wp:docPr id="11" name="Рисунок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8" cstate="print"/>
                    <a:srcRect/>
                    <a:stretch>
                      <a:fillRect/>
                    </a:stretch>
                  </pic:blipFill>
                  <pic:spPr bwMode="auto">
                    <a:xfrm>
                      <a:off x="0" y="0"/>
                      <a:ext cx="110490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(10)</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Рентабельность вложений в предприятие рассчитывается как отношение балансовой прибыли к итогу баланса и показывает эффективность, уровень доходности финансовых вложений предприятия. Расчет рентабельности вложений выглядит следующим образом:</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влож. = </w:t>
      </w:r>
      <w:r w:rsidRPr="005F1DF9">
        <w:rPr>
          <w:rFonts w:ascii="Times New Roman" w:hAnsi="Times New Roman" w:cs="Times New Roman"/>
          <w:noProof/>
          <w:sz w:val="28"/>
          <w:szCs w:val="28"/>
          <w:lang w:eastAsia="ru-RU"/>
        </w:rPr>
        <w:drawing>
          <wp:inline distT="0" distB="0" distL="0" distR="0">
            <wp:extent cx="1104900" cy="447675"/>
            <wp:effectExtent l="19050" t="0" r="0" b="0"/>
            <wp:docPr id="12" name="Рисунок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9" cstate="print"/>
                    <a:srcRect/>
                    <a:stretch>
                      <a:fillRect/>
                    </a:stretch>
                  </pic:blipFill>
                  <pic:spPr bwMode="auto">
                    <a:xfrm>
                      <a:off x="0" y="0"/>
                      <a:ext cx="110490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(11)</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Рентабельность деятельности рассчитывается как отношение чистой прибыли (убытка) к выручке (нетто) от продажи товаров, продукции, работ, услуг и показывает сколько получено прибыли с 1 рубля расходов. Рентабельность деятельности рассчитывается как:</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sz w:val="28"/>
          <w:szCs w:val="28"/>
        </w:rPr>
        <w:t xml:space="preserve">деят. = </w:t>
      </w:r>
      <w:r w:rsidRPr="005F1DF9">
        <w:rPr>
          <w:rFonts w:ascii="Times New Roman" w:hAnsi="Times New Roman" w:cs="Times New Roman"/>
          <w:noProof/>
          <w:sz w:val="28"/>
          <w:szCs w:val="28"/>
          <w:lang w:eastAsia="ru-RU"/>
        </w:rPr>
        <w:drawing>
          <wp:inline distT="0" distB="0" distL="0" distR="0">
            <wp:extent cx="1104900" cy="447675"/>
            <wp:effectExtent l="19050" t="0" r="0" b="0"/>
            <wp:docPr id="13" name="Рисунок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 cstate="print"/>
                    <a:srcRect/>
                    <a:stretch>
                      <a:fillRect/>
                    </a:stretch>
                  </pic:blipFill>
                  <pic:spPr bwMode="auto">
                    <a:xfrm>
                      <a:off x="0" y="0"/>
                      <a:ext cx="1104900" cy="44767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 xml:space="preserve"> (12)</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Другие показатели оборачиваемости и рентабельности используются для общей характеристики и рассматриваются как дополнительные к первым пяти показателям.</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Оценка результатов расчетов пяти коэффициентов заключается в присвоении заемщику категории по каждому из этих показателей на основе сравнения полученных значений с установленными достаточными. Далее </w:t>
      </w:r>
      <w:r w:rsidRPr="005F1DF9">
        <w:rPr>
          <w:rFonts w:ascii="Times New Roman" w:hAnsi="Times New Roman" w:cs="Times New Roman"/>
          <w:sz w:val="28"/>
          <w:szCs w:val="28"/>
        </w:rPr>
        <w:lastRenderedPageBreak/>
        <w:t>определяется сумма баллов по этим показателям в соответствие с их весами. В приложении 12 указано как определить категорию для каждого показателя.</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Следующий шаг - расчет общей суммы баллов (S) с учетом относительного «веса» каждого показателя, имеющих следующие значения: K1 = 0,05; К2 = 0,1; К3 = 0,4; К4 = 0,2; К5 = 0,15, К6=0,1.</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r w:rsidRPr="005F1DF9">
        <w:rPr>
          <w:rFonts w:ascii="Times New Roman" w:hAnsi="Times New Roman" w:cs="Times New Roman"/>
          <w:noProof/>
          <w:sz w:val="28"/>
          <w:szCs w:val="28"/>
          <w:lang w:eastAsia="ru-RU"/>
        </w:rPr>
        <w:drawing>
          <wp:inline distT="0" distB="0" distL="0" distR="0">
            <wp:extent cx="3781425" cy="238125"/>
            <wp:effectExtent l="19050" t="0" r="9525" b="0"/>
            <wp:docPr id="14" name="Рисунок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 cstate="print"/>
                    <a:srcRect/>
                    <a:stretch>
                      <a:fillRect/>
                    </a:stretch>
                  </pic:blipFill>
                  <pic:spPr bwMode="auto">
                    <a:xfrm>
                      <a:off x="0" y="0"/>
                      <a:ext cx="3781425" cy="238125"/>
                    </a:xfrm>
                    <a:prstGeom prst="rect">
                      <a:avLst/>
                    </a:prstGeom>
                    <a:noFill/>
                    <a:ln w="9525">
                      <a:noFill/>
                      <a:miter lim="800000"/>
                      <a:headEnd/>
                      <a:tailEnd/>
                    </a:ln>
                  </pic:spPr>
                </pic:pic>
              </a:graphicData>
            </a:graphic>
          </wp:inline>
        </w:drawing>
      </w:r>
      <w:r w:rsidRPr="005F1DF9">
        <w:rPr>
          <w:rFonts w:ascii="Times New Roman" w:hAnsi="Times New Roman" w:cs="Times New Roman"/>
          <w:sz w:val="28"/>
          <w:szCs w:val="28"/>
        </w:rPr>
        <w:t>(13)</w:t>
      </w:r>
    </w:p>
    <w:p w:rsidR="005F1DF9" w:rsidRPr="005F1DF9" w:rsidRDefault="005F1DF9" w:rsidP="005F1DF9">
      <w:pPr>
        <w:widowControl w:val="0"/>
        <w:autoSpaceDE w:val="0"/>
        <w:autoSpaceDN w:val="0"/>
        <w:adjustRightInd w:val="0"/>
        <w:spacing w:line="360" w:lineRule="auto"/>
        <w:ind w:firstLine="709"/>
        <w:rPr>
          <w:rFonts w:ascii="Times New Roman" w:hAnsi="Times New Roman" w:cs="Times New Roman"/>
          <w:sz w:val="28"/>
          <w:szCs w:val="28"/>
        </w:rPr>
      </w:pP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Значение S наряду с другими факторами используется для определения рейтинга заемщика.</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Для остальных показателей третьей группы (оборачиваемость и рентабельность) не устанавливаются оптимальные или критические значения ввиду большой зависимости этих значений от специфики хозяйствующего субъекта, его отраслевой принадлежности и других конкретных условий. Осуществляется сравнительный анализ этих показателей и оценивается их динамика.</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Качественный анализ базируется на использовании информации, которая не может быть выражена в количественных показателях. Для проведения такого анализа применяются сведения, представленные заемщиком, подразделением безопасности, и информация базы данных. На этом этапе оцениваются риски:</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Отраслевые: состояние рынка по отрасли; тенденции в развитии конкуренции; уровень государственной поддержки; значимость предприятия в масштабах региона; риск недобросовестной конкуренции со стороны других банков.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 xml:space="preserve">Акционерные: риск передела акционерного капитала; согласованность </w:t>
      </w:r>
      <w:r w:rsidRPr="005F1DF9">
        <w:rPr>
          <w:rFonts w:ascii="Times New Roman" w:hAnsi="Times New Roman" w:cs="Times New Roman"/>
          <w:sz w:val="28"/>
          <w:szCs w:val="28"/>
        </w:rPr>
        <w:lastRenderedPageBreak/>
        <w:t>позиций крупных акционеров.</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Регулирование деятельности предприятия: подчиненность (внешняя финансовая структура); формальное и неформальное регулирование деятельности; лицензирование деятельности; льготы и риски их отмены; риски штрафов и санкций; правоприменительные риски (возможность изменения в законодательной и нормативной базе).</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Производственные и управленческие: технологический уровень производства; риски снабженческой инфраструктуры (изменение цен поставщиков, срыв поставок и т.д.); риски, связанные с банками, в которых открыты счета; деловая репутация (аккуратность в выполнении обязательств, кредитная история, участие в крупных проектах, качество товаров и услуг и т.д.); качество управления (квалификация, устойчивость положения руководства, адаптивность к новым методам управления и технологиям, влиятельность в деловых и финансовых кругах).</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t>Заключительным этапом оценки кредитоспособности является определение рейтинга заемщика, или класса. Устанавливаются три класса заемщиков: первоклассные, кредитование которых не вызывает сомнений; второй класс - кредитование требует взвешенного подхода; третий класс - кредитование связано с повышенным риском. Рейтинг определяется на основе суммы баллов по пяти основным показателям, оценки остальных показателей третьей группы и качественного анализа рисков. Сумма баллов (S) влияет на рейтинг заемщика следующим образом: S=1,25 и более - заемщик может быть отнесен к первому классу кредитоспособности; 1,25 &lt; S &lt; 2,35 соответствует второму классу; S&gt; 2,35 соответствует третьему классу. Далее определенный таким образом предварительный рейтинг корректируется с учетом других показателей третьей группы и качественной оценки заемщика. При отрицательном влиянии этих факторов рейтинг может быть снижен на один класс. Пример анализа кредитоспособности заемщика по методике ОАО «Сбербанка России» приведен в приложении 13.</w:t>
      </w:r>
    </w:p>
    <w:p w:rsidR="005F1DF9" w:rsidRPr="005F1DF9" w:rsidRDefault="005F1DF9" w:rsidP="0058267B">
      <w:pPr>
        <w:widowControl w:val="0"/>
        <w:autoSpaceDE w:val="0"/>
        <w:autoSpaceDN w:val="0"/>
        <w:adjustRightInd w:val="0"/>
        <w:spacing w:line="360" w:lineRule="auto"/>
        <w:ind w:firstLine="709"/>
        <w:jc w:val="both"/>
        <w:rPr>
          <w:rFonts w:ascii="Times New Roman" w:hAnsi="Times New Roman" w:cs="Times New Roman"/>
          <w:sz w:val="28"/>
          <w:szCs w:val="28"/>
        </w:rPr>
      </w:pPr>
      <w:r w:rsidRPr="005F1DF9">
        <w:rPr>
          <w:rFonts w:ascii="Times New Roman" w:hAnsi="Times New Roman" w:cs="Times New Roman"/>
          <w:sz w:val="28"/>
          <w:szCs w:val="28"/>
        </w:rPr>
        <w:lastRenderedPageBreak/>
        <w:t>Таким образом, Банк проводит оценку кредитоспособности юридических лиц в 3 этапа</w:t>
      </w:r>
      <w:r w:rsidR="00413AEB">
        <w:rPr>
          <w:rStyle w:val="af0"/>
          <w:rFonts w:ascii="Times New Roman" w:hAnsi="Times New Roman" w:cs="Times New Roman"/>
          <w:sz w:val="28"/>
          <w:szCs w:val="28"/>
        </w:rPr>
        <w:footnoteReference w:id="20"/>
      </w:r>
      <w:r w:rsidRPr="005F1DF9">
        <w:rPr>
          <w:rFonts w:ascii="Times New Roman" w:hAnsi="Times New Roman" w:cs="Times New Roman"/>
          <w:sz w:val="28"/>
          <w:szCs w:val="28"/>
        </w:rPr>
        <w:t>: на первом этапе рассчитываются финансовые коэффициенты, которые позволяют количественно охарактеризовать финансовое состояние заемщика и его способность платить по кредиту; на втором этапе рассматриваются качественные показатели (риски, в связи с которыми кредит может быть не возвращен); на третьем этапе происходит обобщение всех ранее полученных и рассчитанных данных и определяется рейтинг потенциального заемщика, исходя из которого в дальнейшем будет принято решение об отказе в кредите или его выдаче потенциальному заемщику.</w:t>
      </w:r>
    </w:p>
    <w:p w:rsidR="005F1DF9" w:rsidRDefault="005F1DF9" w:rsidP="0058267B">
      <w:pPr>
        <w:jc w:val="both"/>
      </w:pPr>
    </w:p>
    <w:p w:rsidR="005F1DF9" w:rsidRDefault="005F1DF9" w:rsidP="00C54059">
      <w:pPr>
        <w:pStyle w:val="3"/>
        <w:spacing w:before="0" w:line="360" w:lineRule="auto"/>
        <w:jc w:val="both"/>
        <w:rPr>
          <w:rFonts w:ascii="Times New Roman" w:hAnsi="Times New Roman" w:cs="Times New Roman"/>
          <w:color w:val="auto"/>
          <w:sz w:val="28"/>
          <w:szCs w:val="28"/>
        </w:rPr>
      </w:pPr>
    </w:p>
    <w:p w:rsidR="005F1DF9" w:rsidRDefault="005F1DF9" w:rsidP="005F1DF9"/>
    <w:p w:rsidR="005F1DF9" w:rsidRDefault="005F1DF9" w:rsidP="005F1DF9"/>
    <w:p w:rsidR="005F1DF9" w:rsidRDefault="005F1DF9" w:rsidP="005F1DF9"/>
    <w:p w:rsidR="005F1DF9" w:rsidRDefault="005F1DF9" w:rsidP="005F1DF9"/>
    <w:p w:rsidR="005F1DF9" w:rsidRDefault="005F1DF9" w:rsidP="005F1DF9"/>
    <w:p w:rsidR="005F1DF9" w:rsidRDefault="005F1DF9" w:rsidP="005F1DF9"/>
    <w:p w:rsidR="005F1DF9" w:rsidRDefault="005F1DF9" w:rsidP="005F1DF9"/>
    <w:p w:rsidR="00413AEB" w:rsidRDefault="00413AEB" w:rsidP="005F1DF9"/>
    <w:p w:rsidR="00413AEB" w:rsidRDefault="00413AEB" w:rsidP="005F1DF9"/>
    <w:p w:rsidR="00413AEB" w:rsidRDefault="00413AEB" w:rsidP="005F1DF9"/>
    <w:p w:rsidR="00413AEB" w:rsidRDefault="00413AEB" w:rsidP="005F1DF9"/>
    <w:p w:rsidR="00413AEB" w:rsidRPr="005F1DF9" w:rsidRDefault="00413AEB" w:rsidP="005F1DF9"/>
    <w:p w:rsidR="00C54059" w:rsidRPr="00C54059" w:rsidRDefault="005F1DF9" w:rsidP="005F1DF9">
      <w:pPr>
        <w:pStyle w:val="3"/>
        <w:spacing w:before="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5</w:t>
      </w:r>
      <w:r w:rsidR="00C54059" w:rsidRPr="00C54059">
        <w:rPr>
          <w:rFonts w:ascii="Times New Roman" w:hAnsi="Times New Roman" w:cs="Times New Roman"/>
          <w:color w:val="auto"/>
          <w:sz w:val="28"/>
          <w:szCs w:val="28"/>
        </w:rPr>
        <w:t xml:space="preserve">. Перспективы развития банковского карточного рынка. Рекомендации по повышению эффективности работы с пластиковыми картами в </w:t>
      </w:r>
      <w:r w:rsidR="00C54059">
        <w:rPr>
          <w:rFonts w:ascii="Times New Roman" w:hAnsi="Times New Roman" w:cs="Times New Roman"/>
          <w:color w:val="auto"/>
          <w:sz w:val="28"/>
          <w:szCs w:val="28"/>
        </w:rPr>
        <w:t>МКБ</w:t>
      </w:r>
      <w:r w:rsidR="00C54059" w:rsidRPr="00C54059">
        <w:rPr>
          <w:rFonts w:ascii="Times New Roman" w:hAnsi="Times New Roman" w:cs="Times New Roman"/>
          <w:color w:val="auto"/>
          <w:sz w:val="28"/>
          <w:szCs w:val="28"/>
        </w:rPr>
        <w:t xml:space="preserve"> «</w:t>
      </w:r>
      <w:r w:rsidR="00B52721">
        <w:rPr>
          <w:rFonts w:ascii="Times New Roman" w:hAnsi="Times New Roman" w:cs="Times New Roman"/>
          <w:color w:val="auto"/>
          <w:sz w:val="28"/>
          <w:szCs w:val="28"/>
        </w:rPr>
        <w:t>П</w:t>
      </w:r>
      <w:r w:rsidR="00C54059">
        <w:rPr>
          <w:rFonts w:ascii="Times New Roman" w:hAnsi="Times New Roman" w:cs="Times New Roman"/>
          <w:color w:val="auto"/>
          <w:sz w:val="28"/>
          <w:szCs w:val="28"/>
        </w:rPr>
        <w:t>риватбанк»</w:t>
      </w:r>
      <w:bookmarkEnd w:id="14"/>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Важным моментом использования пластиковых карт является безопасность транзакций. С каждым годом мошенники всех мастей совершенствуют свои навыки и изобретательность. Разработчики систем безопасности вынуждены не просто совершенствовать уже созданные защитные функции пластиковых карточек, но и шагать на несколько шагов впереди предприимчивых грабителей. Вот только некоторые последние разработки дополнительных ступеней защиты пластиковой карты от несанкционированного доступа. </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Идентификация владельца по отпечатку пальца.</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Изобретателями США в 2008 году была разработана принципиально новая схема биометрической пластиковой карты. Карта безошибочно идентифицирует владельца по отпечатку пальца, при помощи специального вмонтированного сканера. Все индивидуальные данные владельца карты также не видны, и проявляются на несколько секунд только после активации карты. Для этого, в карту вмонтирован жидкокристаллический мини-экран.</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Нужно отметить, что действующего варианта такой карты пока нет. Трудность реализации проекта заключается в том, что жидкокристаллический экран не монтируется на карту стандартного размера. Но через несколько лет такие пластиковые карты станут обычным явлением в повседневном использовании.</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Пластиковая карта расскажет…</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…О ваших сбережениях. Разумеется только вам. Голландские умельцы, а точнее мастера одного из подразделений известнейшего производителя электронных товаров компании Koninklijke Philips Electronics, изобрели «говорящую» карточку. Справедливости ради, нужно отметить, что на сегодняшний день «словарный запас» карточки исчерпан ответом на </w:t>
      </w:r>
      <w:r w:rsidRPr="00C54059">
        <w:rPr>
          <w:rFonts w:ascii="Times New Roman" w:eastAsia="Times New Roman" w:hAnsi="Times New Roman" w:cs="Times New Roman"/>
          <w:sz w:val="28"/>
          <w:szCs w:val="28"/>
          <w:lang w:eastAsia="ru-RU"/>
        </w:rPr>
        <w:lastRenderedPageBreak/>
        <w:t>специальный запрос, услышать который под силу только специальным считывающим устройствам.</w:t>
      </w:r>
      <w:r w:rsidR="00413AEB">
        <w:rPr>
          <w:rStyle w:val="af0"/>
          <w:rFonts w:ascii="Times New Roman" w:eastAsia="Times New Roman" w:hAnsi="Times New Roman" w:cs="Times New Roman"/>
          <w:sz w:val="28"/>
          <w:szCs w:val="28"/>
          <w:lang w:eastAsia="ru-RU"/>
        </w:rPr>
        <w:footnoteReference w:id="21"/>
      </w:r>
      <w:r w:rsidRPr="00C54059">
        <w:rPr>
          <w:rFonts w:ascii="Times New Roman" w:eastAsia="Times New Roman" w:hAnsi="Times New Roman" w:cs="Times New Roman"/>
          <w:sz w:val="28"/>
          <w:szCs w:val="28"/>
          <w:lang w:eastAsia="ru-RU"/>
        </w:rPr>
        <w:t xml:space="preserve"> </w:t>
      </w:r>
    </w:p>
    <w:p w:rsid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Карточка изготовлена из определенного полимера, с особым подбором примесей. Для процедуры использования ее помещают в специальный «приемник», оснащенный с одной стороны динамиком, а с другой – микрофоном. Динамик создает запрос информации с платежной или банковской карты, а микрофон считывает и создает запись поступившего сигнала, сравнивая его с правильным вариантом. Минимальное искажение сигнала свидетельствует о том, что карточка подделана, и провести с ее помощью транзакцию не удастся.</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Зачем все так усложнять? Напротив, на самом деле такой метод «опознания» карты, гораздо дешевле и надежнее классических методов визуальной проверки. Основное преимущество этого способа в том, что его достоверность не зависит  от состояния карточки, даже если пластиковый носитель находится в весьма плачевном состоянии, на качестве считывания информации это не сказывается. Авторы изобретения «говорящей карты, надеются, что скоро она займет достойное место в постоянном использовании.</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Особенности введения пин-кода. </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Специалисты активно разрабатывают  возможность введения пин-кода непосредственно на поверхности пластиковой карты. Тем самым, обеспечится максимально возможный уровень защиты информации от доступа посторонних лиц. Пин-код – самая желанная для мошенника информация. К каким только ухищрениям не прибегают воришки, для ее  получения. Современные грабители подкованы технически и вооружены дорогостоящими устройствами, которые помогают узнавать пин-код во время введения его в банкомат, воровать секретную информацию с помощью специальных программ и компьютерных вирусов. </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lastRenderedPageBreak/>
        <w:t xml:space="preserve">Компании eMue Technologies и Innovative Card Technologies, разработали технологию, позволяющую ввести пин-код непосредственно на платежной карте. Это минимизирует контакт и введение информации в посторонние устройства (банкомат, компьютер), чем значительно повышает уровень безопасности и защиты находящейся на пластиковой карте информации. Специалисты надеются, что в скором времени эта технология будет доступна всем пользователям пластиковых карт. </w:t>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Интересное решение в области пластиковых карт представил на Finovate в Нью-Йорке стартап 2012 года - компания Dynamics Inc. </w:t>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Ее пластиковая карта ePlate совмещает в себе как минимум две разные карты — со встроенными кнопками переключения между ними.</w:t>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Основная идея продукта заключается в том, что потребителю для разных целей предпочтительнее использовать разные банковские счета, в том числе открытые в различных кредитных организациях или платежных системах. Это дает возможность более рационально управлять своими средствами, а также, что зачастую немаловажно для пользователей, получать соответствующие привилегии и бонусы. При этом, как бы банки ни хотели иного, большинство клиентов сегодня так или иначе уже используют счета и продукты различных банков.</w:t>
      </w:r>
      <w:r w:rsidR="00413AEB">
        <w:rPr>
          <w:rStyle w:val="af0"/>
          <w:rFonts w:ascii="Times New Roman" w:eastAsia="Times New Roman" w:hAnsi="Times New Roman" w:cs="Times New Roman"/>
          <w:sz w:val="28"/>
          <w:szCs w:val="28"/>
          <w:lang w:eastAsia="ru-RU"/>
        </w:rPr>
        <w:footnoteReference w:id="22"/>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Система состоит из трех составных частей, связанных между собой. Во-первых, это сама карта. В нее интегрирован процессор, который позволяет при нажатии на сенсорную кнопку переключить запись на магнитной ленте и выдаваемую чипом информацию. Более того, на миниатюрном экране отображаются цифры номера нужного «пластика» — в зависимости от того, какой финансовый продукт клиент использует. Во-вторых, это программный продукт Dynamics Experience Manager, который устанавливается на компьютер пользователя. Его экран представляет собой изображение карты и кнопки настройки на ряде вкладок. Таким образом, клиент выбирает те или иные счета, которые будут привязаны к карте. В-</w:t>
      </w:r>
      <w:r w:rsidRPr="00C54059">
        <w:rPr>
          <w:rFonts w:ascii="Times New Roman" w:eastAsia="Times New Roman" w:hAnsi="Times New Roman" w:cs="Times New Roman"/>
          <w:sz w:val="28"/>
          <w:szCs w:val="28"/>
          <w:lang w:eastAsia="ru-RU"/>
        </w:rPr>
        <w:lastRenderedPageBreak/>
        <w:t>третьих - облачный сервис, который обслуживает карту и взаимодействует с процессинговыми центрами. Здесь же хранится история совершенных операций, которая выдается конечным пользователям.</w:t>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В системе открываются дополнительные возможности по продвижению продуктов. Прежде всего - по таргетингу маркетинговых предложений.</w:t>
      </w:r>
    </w:p>
    <w:p w:rsidR="00C54059" w:rsidRPr="00C54059" w:rsidRDefault="00C54059" w:rsidP="0047305B">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Можно сказать, сервис представляет из себя уникальную рекламную площадку. Через него можно продвигать специальные предложения банков. Банки могут предлагать такие продукты, как карты с cash-back на определенных условиях, начислением баллов и прочее</w:t>
      </w:r>
      <w:r w:rsidR="0047305B">
        <w:rPr>
          <w:rFonts w:ascii="Times New Roman" w:eastAsia="Times New Roman" w:hAnsi="Times New Roman" w:cs="Times New Roman"/>
          <w:sz w:val="28"/>
          <w:szCs w:val="28"/>
          <w:lang w:eastAsia="ru-RU"/>
        </w:rPr>
        <w:t>.</w:t>
      </w:r>
    </w:p>
    <w:p w:rsidR="00C54059" w:rsidRPr="00C54059" w:rsidRDefault="00C54059" w:rsidP="00C54059">
      <w:pPr>
        <w:spacing w:after="0" w:line="360" w:lineRule="auto"/>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noProof/>
          <w:color w:val="0000FF"/>
          <w:sz w:val="28"/>
          <w:szCs w:val="28"/>
          <w:lang w:eastAsia="ru-RU"/>
        </w:rPr>
        <w:drawing>
          <wp:inline distT="0" distB="0" distL="0" distR="0">
            <wp:extent cx="2362200" cy="2857500"/>
            <wp:effectExtent l="0" t="0" r="0" b="0"/>
            <wp:docPr id="30" name="Рисунок 30" descr="Програмный продукт Dynamic">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рограмный продукт Dynamic">
                      <a:hlinkClick r:id="rId42"/>
                    </pic:cNvPr>
                    <pic:cNvPicPr>
                      <a:picLocks noChangeAspect="1" noChangeArrowheads="1"/>
                    </pic:cNvPicPr>
                  </pic:nvPicPr>
                  <pic:blipFill>
                    <a:blip r:embed="rId4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2200" cy="2857500"/>
                    </a:xfrm>
                    <a:prstGeom prst="rect">
                      <a:avLst/>
                    </a:prstGeom>
                    <a:noFill/>
                    <a:ln>
                      <a:noFill/>
                    </a:ln>
                  </pic:spPr>
                </pic:pic>
              </a:graphicData>
            </a:graphic>
          </wp:inline>
        </w:drawing>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 Информация, которая становится доступна системе в результате ее использования клиентами, уникальна: в базе данных сохраняются не только данные о том, что тот или иной пользователь купил, но и какому конкретно финансовому продукту он при этом отдал предпочтение.</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Среди новинок выделяется проект Visa PIN Card. Компания Emue Technologies создала карточку с буквенно-цифровым дисплеем на восемь знаков, 12-кнопочной клавиатурой, встроенными EMV-чипом с бесконтактным интерфейсом и батарейкой со сроком действия более трех лет. Сегодня главное назначение карточки – аутентификация ее держателя в Интернет-банке и операциях электронной коммерции.  В будущем подобные </w:t>
      </w:r>
      <w:r w:rsidRPr="00C54059">
        <w:rPr>
          <w:rFonts w:ascii="Times New Roman" w:eastAsia="Times New Roman" w:hAnsi="Times New Roman" w:cs="Times New Roman"/>
          <w:sz w:val="28"/>
          <w:szCs w:val="28"/>
          <w:lang w:eastAsia="ru-RU"/>
        </w:rPr>
        <w:lastRenderedPageBreak/>
        <w:t>карточки позволят закрыть родовую брешь в электронных операциях безналичных платежей: при выполнении таких операций клиент никогда не знает, за какую операцию он «подписывается» при использовании карточки.</w:t>
      </w:r>
      <w:r w:rsidR="00413AEB">
        <w:rPr>
          <w:rStyle w:val="af0"/>
          <w:rFonts w:ascii="Times New Roman" w:eastAsia="Times New Roman" w:hAnsi="Times New Roman" w:cs="Times New Roman"/>
          <w:sz w:val="28"/>
          <w:szCs w:val="28"/>
          <w:lang w:eastAsia="ru-RU"/>
        </w:rPr>
        <w:footnoteReference w:id="23"/>
      </w:r>
      <w:r w:rsidRPr="00C54059">
        <w:rPr>
          <w:rFonts w:ascii="Times New Roman" w:eastAsia="Times New Roman" w:hAnsi="Times New Roman" w:cs="Times New Roman"/>
          <w:sz w:val="28"/>
          <w:szCs w:val="28"/>
          <w:lang w:eastAsia="ru-RU"/>
        </w:rPr>
        <w:t xml:space="preserve"> Дело в том, что сумма операции на экране POS-терминала совсем не обязательно соответствует размеру транзакции, отправляемой в банк клиента на авторизацию. Единственным выходом из подобной ситуации является создание так называемого Customer Trustworthy Channel – канала, которому клиент может доверять. Карточка с буквенно-цифровым экраном – один из таких каналов. Появление на экране карточки размера транзакции позволит клиенту быть уверенным в том, что при оплате обеда в ресторане с него снимут 300 руб., а не 30 000 руб.</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bCs/>
          <w:sz w:val="28"/>
          <w:szCs w:val="28"/>
          <w:lang w:eastAsia="ru-RU"/>
        </w:rPr>
        <w:t>Рынок платежных карт</w:t>
      </w:r>
      <w:r w:rsidRPr="00C54059">
        <w:rPr>
          <w:rFonts w:ascii="Times New Roman" w:eastAsia="Times New Roman" w:hAnsi="Times New Roman" w:cs="Times New Roman"/>
          <w:sz w:val="28"/>
          <w:szCs w:val="28"/>
          <w:lang w:eastAsia="ru-RU"/>
        </w:rPr>
        <w:t xml:space="preserve"> всё больше становится полем конкурентной борьбы между российскими банками. Операции по банковским карточкам относятся к числу наиболее доходных видов банковской деятельности. В среднем доход на единицу затрат в карточном бизнесе выше, чем по другим видам операций. Во-первых, нужно отметить такие доходные проекты как реализация зарплатных схем, столь популярных в России и некоторых странах СНГ. Издержки обслуживания подобных проектов для банка минимальны вследствие высокой степени автоматизации процесса. Во-вторых, весьма существенными могут быть для банка комиссионные отчисления за проведение платежей при использовании пластиковых карт, а также комиссии получаемые от торгово-сервисных предприятий за обслуживание.</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Специфика российского рынка состоит в том, что рынок развивается в основном не за счет индивидуальных вкладчиков и держателей карт, а за счет зарплатных проектов. Суть которых - обслуживание банком процесса начисления и выдачи заработной платы сотрудникам предприятия с использованием банковских пластиковых карт. Эта система очень широко распространена в регионах России и доля </w:t>
      </w:r>
      <w:r w:rsidRPr="00C54059">
        <w:rPr>
          <w:rFonts w:ascii="Times New Roman" w:eastAsia="Times New Roman" w:hAnsi="Times New Roman" w:cs="Times New Roman"/>
          <w:bCs/>
          <w:sz w:val="28"/>
          <w:szCs w:val="28"/>
          <w:lang w:eastAsia="ru-RU"/>
        </w:rPr>
        <w:t>зарплатных карточек</w:t>
      </w:r>
      <w:r w:rsidRPr="00C54059">
        <w:rPr>
          <w:rFonts w:ascii="Times New Roman" w:eastAsia="Times New Roman" w:hAnsi="Times New Roman" w:cs="Times New Roman"/>
          <w:sz w:val="28"/>
          <w:szCs w:val="28"/>
          <w:lang w:eastAsia="ru-RU"/>
        </w:rPr>
        <w:t xml:space="preserve"> оставляет </w:t>
      </w:r>
      <w:r w:rsidRPr="00C54059">
        <w:rPr>
          <w:rFonts w:ascii="Times New Roman" w:eastAsia="Times New Roman" w:hAnsi="Times New Roman" w:cs="Times New Roman"/>
          <w:sz w:val="28"/>
          <w:szCs w:val="28"/>
          <w:lang w:eastAsia="ru-RU"/>
        </w:rPr>
        <w:lastRenderedPageBreak/>
        <w:t>порядка 80 процентов всех выпушенных карт. Это во многом объясняет поведение держателей, которые после начисления заработной платы сразу же ее снимают в банкомате, отсюда и возникает высокий процент снятия наличных денежных средств.</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Однако, стимулом к использованию пластиковых карт в России будет сочетание двух условий. Первое: механизм расчетов по карте должен быть не менее удобен, чем с использованием наличных денежных средств. Второе: пользование картами должно быть доступным, то есть минимальным по стоимости и выгодным клиенту. Как утверждают сами экономисты: "</w:t>
      </w:r>
      <w:r w:rsidRPr="00C54059">
        <w:rPr>
          <w:rFonts w:ascii="Times New Roman" w:eastAsia="Times New Roman" w:hAnsi="Times New Roman" w:cs="Times New Roman"/>
          <w:bCs/>
          <w:sz w:val="28"/>
          <w:szCs w:val="28"/>
          <w:lang w:eastAsia="ru-RU"/>
        </w:rPr>
        <w:t>Будущее</w:t>
      </w:r>
      <w:r w:rsidRPr="00C54059">
        <w:rPr>
          <w:rFonts w:ascii="Times New Roman" w:eastAsia="Times New Roman" w:hAnsi="Times New Roman" w:cs="Times New Roman"/>
          <w:sz w:val="28"/>
          <w:szCs w:val="28"/>
          <w:lang w:eastAsia="ru-RU"/>
        </w:rPr>
        <w:t xml:space="preserve"> банковских услуг - за </w:t>
      </w:r>
      <w:r w:rsidRPr="00C54059">
        <w:rPr>
          <w:rFonts w:ascii="Times New Roman" w:eastAsia="Times New Roman" w:hAnsi="Times New Roman" w:cs="Times New Roman"/>
          <w:bCs/>
          <w:sz w:val="28"/>
          <w:szCs w:val="28"/>
          <w:lang w:eastAsia="ru-RU"/>
        </w:rPr>
        <w:t>пластиковыми картами</w:t>
      </w:r>
      <w:r w:rsidRPr="00C54059">
        <w:rPr>
          <w:rFonts w:ascii="Times New Roman" w:eastAsia="Times New Roman" w:hAnsi="Times New Roman" w:cs="Times New Roman"/>
          <w:sz w:val="28"/>
          <w:szCs w:val="28"/>
          <w:lang w:eastAsia="ru-RU"/>
        </w:rPr>
        <w:t>". И это действительно так, - несмотря на целый ряд проблем, российский рынок пластиковых карт развивается достаточно быстрыми темпами и внушает большие надежды.</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4"/>
          <w:szCs w:val="24"/>
          <w:lang w:eastAsia="ru-RU"/>
        </w:rPr>
        <w:t xml:space="preserve">В </w:t>
      </w:r>
      <w:r w:rsidRPr="00C54059">
        <w:rPr>
          <w:rFonts w:ascii="Times New Roman" w:eastAsia="Times New Roman" w:hAnsi="Times New Roman" w:cs="Times New Roman"/>
          <w:sz w:val="28"/>
          <w:szCs w:val="28"/>
          <w:lang w:eastAsia="ru-RU"/>
        </w:rPr>
        <w:t>рамках поэтапной миграции на микропроцессорные карты нового поколения в 2012 году была эмитирована первая партия EMV-карт. С внедрением карт нового поколения банки-партнеры РПС "Золотая Корона" получают возможность не только эмитировать и обслуживать микропроцессорные карты, функционирующие по технологии EMV в соответствии с требованиями отраслевых стандартов, но и создавать самые разнообразные карточные продукты с универсальным платежным "ядром" - от карт, работающих только в режиме on-line и фактически являющихся защищенным аналогом карт с магнитной полосой, до карт, работающих в логике предавторизо</w:t>
      </w:r>
      <w:r w:rsidR="0047305B">
        <w:rPr>
          <w:rFonts w:ascii="Times New Roman" w:eastAsia="Times New Roman" w:hAnsi="Times New Roman" w:cs="Times New Roman"/>
          <w:sz w:val="28"/>
          <w:szCs w:val="28"/>
          <w:lang w:eastAsia="ru-RU"/>
        </w:rPr>
        <w:t>ванного платежного кошелька</w:t>
      </w:r>
      <w:r w:rsidRPr="00C54059">
        <w:rPr>
          <w:rFonts w:ascii="Times New Roman" w:eastAsia="Times New Roman" w:hAnsi="Times New Roman" w:cs="Times New Roman"/>
          <w:sz w:val="28"/>
          <w:szCs w:val="28"/>
          <w:lang w:eastAsia="ru-RU"/>
        </w:rPr>
        <w:t>.</w:t>
      </w:r>
      <w:r w:rsidR="00413AEB">
        <w:rPr>
          <w:rStyle w:val="af0"/>
          <w:rFonts w:ascii="Times New Roman" w:eastAsia="Times New Roman" w:hAnsi="Times New Roman" w:cs="Times New Roman"/>
          <w:sz w:val="28"/>
          <w:szCs w:val="28"/>
          <w:lang w:eastAsia="ru-RU"/>
        </w:rPr>
        <w:footnoteReference w:id="24"/>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За прошедшие годы участники рынка банковского пластика совершили революционный переворот не только в технологиях и сервисе, но и в сознании людей. Но до сих пор федеральный рынок банковских карт как единое функциональное пространство п</w:t>
      </w:r>
      <w:r w:rsidR="0047305B">
        <w:rPr>
          <w:rFonts w:ascii="Times New Roman" w:eastAsia="Times New Roman" w:hAnsi="Times New Roman" w:cs="Times New Roman"/>
          <w:sz w:val="28"/>
          <w:szCs w:val="28"/>
          <w:lang w:eastAsia="ru-RU"/>
        </w:rPr>
        <w:t xml:space="preserve">ока не сформирован. Он, подобно </w:t>
      </w:r>
      <w:r w:rsidRPr="00C54059">
        <w:rPr>
          <w:rFonts w:ascii="Times New Roman" w:eastAsia="Times New Roman" w:hAnsi="Times New Roman" w:cs="Times New Roman"/>
          <w:sz w:val="28"/>
          <w:szCs w:val="28"/>
          <w:lang w:eastAsia="ru-RU"/>
        </w:rPr>
        <w:t>конструктору, есть набор локальных рынков.</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lastRenderedPageBreak/>
        <w:t>Отдельно взятый карточный продукт российского происхождения, независимо от системы-эмитента, идеально работает на одной территории, но не применим на соседней. В каждой области равноправно существуют и эффективно работают карты всех систем - международных, российских и локальных: они настроены на местную специфику стараниями местных же банков-эмитентов.</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Для того чтобы успешно конкурировать с международными платежными системами на равных, российским игрокам пластикового рынка необходимо объединяться - это уже очевидно. Идея, предусматривающая создание единой национальной платежной системы, уже обсуждается более 10 лет. Ее выгодность очевидна, поскольку объединение должно повысить доходность пластикового бизнеса в России как за счет роста валового объема комиссионных от резкого роста транзакций, так и за счет отказа от их дележа с международными платежными системами.</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Для россиян владение картой, принадлежащей отечественной платежной системе, обходится в среднем в два-три раза дешевле, чем международной. Банки же помимо вступительных взносов и ежегодных процентов, отчисляемых в пользу международных платежных систем, вынуждены держать депозиты на счетах в иностранных банках, тем самым, отвлекая значительные средства из своего оборота. В российских платежных системах требования к участникам значительно мягче. Стоимость организации выпуска карт международных платежных систем обходится банку как минимум в 50--100 тыс. долларов, а российской системы -- от 30 тыс. долларов.</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Мировой опыт свидетельствует, что программу по построению единой национальной платежной системы вполне можно воплотить в жизнь, но узким местом в ее реализации является финансовый вопрос. Так построение единой национальной платежной системы на базе чиповых технологий будет стоить около 2 млрд. долларов. Поэтому ни один крупный российский банк пока не изъявил желания участвовать в финансировании такого рода </w:t>
      </w:r>
      <w:r w:rsidRPr="00C54059">
        <w:rPr>
          <w:rFonts w:ascii="Times New Roman" w:eastAsia="Times New Roman" w:hAnsi="Times New Roman" w:cs="Times New Roman"/>
          <w:sz w:val="28"/>
          <w:szCs w:val="28"/>
          <w:lang w:eastAsia="ru-RU"/>
        </w:rPr>
        <w:lastRenderedPageBreak/>
        <w:t>проектов. Вряд ли согласится на такую сумму и государство, тем более что практика показывает: в таких случаях гораздо более эффективными являются долевые государственно-частные инвестиции. И еще очень важный момент: нельзя единую национальную платежную систему делать монополистом на российском рынке, а надо дать ей возможность на равных конкурировать с международными платежными системами. При этом потребитель должен сам решать, какой картой ему выгоднее пользоваться.</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Актуальным является также вопрос введения единых чиповых карт, которые заменили бы документы и банковские пластиковые карты.</w:t>
      </w:r>
    </w:p>
    <w:p w:rsidR="009B736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К 1 мая 2011 года правительство должно было подсчитать, во сколько обойдутся выпуск и внедрение универсальной электронной карты (УЭК). Она будет у каждого гражданина и заменит практически все существующие документы</w:t>
      </w:r>
      <w:r w:rsidR="009B7369">
        <w:rPr>
          <w:rFonts w:ascii="Times New Roman" w:eastAsia="Times New Roman" w:hAnsi="Times New Roman" w:cs="Times New Roman"/>
          <w:sz w:val="28"/>
          <w:szCs w:val="28"/>
          <w:lang w:eastAsia="ru-RU"/>
        </w:rPr>
        <w:t>.</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На вид универсальная электронная карта (пока существуют лишь пилотные образцы) - обычный "пластик" с чипом и фотографией владельца. Но объем зашитой на карту информации и число функций позволяют чиновникам заявлять об уникальности и даже инновационности российского продукта.</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Карта заменит свидетельство пенсионного страхования, медицинский полис, права, полис ОСАГО. С ее помощью станут доступны тысячи государственных услуг: получение всевозможных справок, запись ребенка в детский сад, оплата налогов и штрафов, подача документов на загранпаспорт, обращение за социальной помощью и другие. Это будет одновременно и банковская карта, которой можно будет пользоваться за рубежом: сейчас на эту тему ведутся переговоры с международными платежными системами Visa и MasterСard. На УЭК по желанию гражданина будет переводиться пенсия, карта будет "владеть" всей информацией о положенных клиенту льготах. Есть техническое решение, позволяющее занести на карту даже данные общегражданского паспорта (таким образом, УЭК станет </w:t>
      </w:r>
      <w:r w:rsidRPr="00C54059">
        <w:rPr>
          <w:rFonts w:ascii="Times New Roman" w:eastAsia="Times New Roman" w:hAnsi="Times New Roman" w:cs="Times New Roman"/>
          <w:sz w:val="28"/>
          <w:szCs w:val="28"/>
          <w:lang w:eastAsia="ru-RU"/>
        </w:rPr>
        <w:lastRenderedPageBreak/>
        <w:t>полноценным удостоверением личности). Но для этого требуется поправить законодательство.</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Второй важный вопрос - инфраструктура. Проще говоря, терминалы для работы с картами и ридеры для персональных компьютеров.</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В каждом регионе должно быть достаточное количество простого, понятного для граждан и удобного технологического оборудования. Недопустимо, чтобы очереди в кабинеты чиновников превратились в очереди к терминалам обслуживания карт. Предполагается, что из дома картой тоже будет пользоваться просто. Уже существуют специальные считыватели. Это, кстати, не отменяет того способа авторизации на сайте, что существует сейчас, то есть введения логина и пароля. Но моментально получить их нельзя (присылают по почте), а с УЭК все будет быстрее. Ридеры сейчас стоят около 300 рублей, но при массовом использовании их себестоимость можно снизить до 100 рублей.</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Также предстоит оснастить оборудованием многочисленные учреждения вроде поликлиник и аптек: врач выписывает электронный рецепт, а в аптеке эту информацию считывают. Поставят ридеры и на транспорт.</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Универсальную электронную карту начнут выпускать с 1 января 2012 года. Чтобы успеть, придется использовать в картах иностранный чип, но из соображений безопасности карты с таким чипом не позволят получать около 15% услуг. Однако, предполагается, что эта мера временная.</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Подводя итог, хотелось бы отметить, что в настоящий момент эволюционная фаза развития рынка банковских карт практически пройдена, вследствие чего создан довольно стабильный базис дальнейшего развития и выхода на принципиально новый качественный уровень с учетом реализации предлагаемого спектра банковских карт. В ближайшие 2-3 года мы станем свидетелями позитивной трансформации этих процессов за счет реализации населением всего спектра возможностей, предоставляемых различными банковскими картами. Но, несмотря на бурный рост карточного бизнеса, </w:t>
      </w:r>
      <w:r w:rsidRPr="00C54059">
        <w:rPr>
          <w:rFonts w:ascii="Times New Roman" w:eastAsia="Times New Roman" w:hAnsi="Times New Roman" w:cs="Times New Roman"/>
          <w:sz w:val="28"/>
          <w:szCs w:val="28"/>
          <w:lang w:eastAsia="ru-RU"/>
        </w:rPr>
        <w:lastRenderedPageBreak/>
        <w:t>остаются нерешенными многие проблемы. До сих пор непонятна точка зрения государства на правила в сфере карточного бизнеса и соответствующего госрегулирования данной сферы. Платежное пространство как ничто другое нуждается в четко сформулированных правилах игры. Пока же участники российского рынка пользуются правилами, которые установились на международном рынке и оперируют ими на свое усмотрение. Как вести этот бизнес на территории России должно определить в первую очередь само государство и действовать в интересах своих граждан.</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Россия должна иметь свою единую национальную платежную систему. Национальная платежная система необходима, прежде всего, чтобы эмитировать те продукты, которые соответствуют требованиям российского рынка, чтобы самим определять правила, процедуры и тарифы межбанковской платежной системы. Единая национальная платежная система должна решать проблемы государственного масштаба. Поэтому создание надежной национальной платежной системы -- это, прежде всего, гарант экономической безопасности страны и безопасности страны в целом.</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Оценка ожидаемой эффективности от внедрения мероприятий по совершенствованию процесса обслуживания банковскими картами</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Экономическая эффективность управления состоит в умелом управлении всеми ресурсами карточного розничного бизнеса и услугами на их основе - кадрами, техническим потенциалом, получением положительной операционной маржи либо по всем видам операций в совокупности, либо по некоторым в отдельности.</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Рассмотрим предполагаемую экономическую эффективность от продвижения банковских карт и «Мобильного банка» в </w:t>
      </w:r>
      <w:r>
        <w:rPr>
          <w:rFonts w:ascii="Times New Roman" w:eastAsia="Times New Roman" w:hAnsi="Times New Roman" w:cs="Times New Roman"/>
          <w:sz w:val="28"/>
          <w:szCs w:val="28"/>
          <w:lang w:eastAsia="ru-RU"/>
        </w:rPr>
        <w:t>Москомприватбанк.</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Используя данные, представленные во второй главе выпускной квалификационной работы (таблицы 4 и 5), можно утверждать, что средний темп прироста выдачи банковских карт составляет в квартал +28,5%:</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(518-242)/242*100% =114,0%; 114,0/4 = 28,5%</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Уравнение регрессии: ух = -157,1 + 3,2674 х</w:t>
      </w:r>
    </w:p>
    <w:p w:rsidR="00C54059" w:rsidRPr="00C54059" w:rsidRDefault="005F1DF9" w:rsidP="00C5405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Таким образом, прогноз на 2013</w:t>
      </w:r>
      <w:r w:rsidR="00C54059" w:rsidRPr="00C54059">
        <w:rPr>
          <w:rFonts w:ascii="Times New Roman" w:eastAsia="Times New Roman" w:hAnsi="Times New Roman" w:cs="Times New Roman"/>
          <w:sz w:val="28"/>
          <w:szCs w:val="28"/>
          <w:lang w:eastAsia="ru-RU"/>
        </w:rPr>
        <w:t xml:space="preserve"> год может выглядеть следующим образом, как представлено в таблице </w:t>
      </w:r>
      <w:r w:rsidR="00C54059">
        <w:rPr>
          <w:rFonts w:ascii="Times New Roman" w:eastAsia="Times New Roman" w:hAnsi="Times New Roman" w:cs="Times New Roman"/>
          <w:sz w:val="28"/>
          <w:szCs w:val="28"/>
          <w:lang w:eastAsia="ru-RU"/>
        </w:rPr>
        <w:t>3.9</w:t>
      </w:r>
    </w:p>
    <w:p w:rsidR="00EC0A4F" w:rsidRDefault="00EC0A4F" w:rsidP="00C54059">
      <w:pPr>
        <w:spacing w:after="0" w:line="360" w:lineRule="auto"/>
        <w:jc w:val="both"/>
        <w:rPr>
          <w:rFonts w:ascii="Times New Roman" w:eastAsia="Times New Roman" w:hAnsi="Times New Roman" w:cs="Times New Roman"/>
          <w:sz w:val="28"/>
          <w:szCs w:val="28"/>
          <w:lang w:eastAsia="ru-RU"/>
        </w:rPr>
      </w:pPr>
    </w:p>
    <w:p w:rsidR="00EC0A4F" w:rsidRDefault="00EC0A4F" w:rsidP="00C54059">
      <w:pPr>
        <w:spacing w:after="0" w:line="360" w:lineRule="auto"/>
        <w:jc w:val="both"/>
        <w:rPr>
          <w:rFonts w:ascii="Times New Roman" w:eastAsia="Times New Roman" w:hAnsi="Times New Roman" w:cs="Times New Roman"/>
          <w:sz w:val="28"/>
          <w:szCs w:val="28"/>
          <w:lang w:eastAsia="ru-RU"/>
        </w:rPr>
      </w:pPr>
    </w:p>
    <w:p w:rsidR="00EC0A4F" w:rsidRDefault="00EC0A4F" w:rsidP="00C54059">
      <w:pPr>
        <w:spacing w:after="0" w:line="360" w:lineRule="auto"/>
        <w:jc w:val="both"/>
        <w:rPr>
          <w:rFonts w:ascii="Times New Roman" w:eastAsia="Times New Roman" w:hAnsi="Times New Roman" w:cs="Times New Roman"/>
          <w:sz w:val="28"/>
          <w:szCs w:val="28"/>
          <w:lang w:eastAsia="ru-RU"/>
        </w:rPr>
      </w:pPr>
    </w:p>
    <w:p w:rsidR="00C54059" w:rsidRPr="00C54059" w:rsidRDefault="00C54059" w:rsidP="00C54059">
      <w:pPr>
        <w:spacing w:after="0" w:line="360" w:lineRule="auto"/>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3.9</w:t>
      </w:r>
      <w:r w:rsidRPr="00C54059">
        <w:rPr>
          <w:rFonts w:ascii="Times New Roman" w:eastAsia="Times New Roman" w:hAnsi="Times New Roman" w:cs="Times New Roman"/>
          <w:sz w:val="28"/>
          <w:szCs w:val="28"/>
          <w:lang w:eastAsia="ru-RU"/>
        </w:rPr>
        <w:t xml:space="preserve"> Прогнозные значения на 2013 год объема выдачи личных МБК и остатков на карт-счетах в </w:t>
      </w:r>
      <w:r>
        <w:rPr>
          <w:rFonts w:ascii="Times New Roman" w:eastAsia="Times New Roman" w:hAnsi="Times New Roman" w:cs="Times New Roman"/>
          <w:sz w:val="28"/>
          <w:szCs w:val="28"/>
          <w:lang w:eastAsia="ru-RU"/>
        </w:rPr>
        <w:t>Москомприватбанк</w:t>
      </w:r>
    </w:p>
    <w:tbl>
      <w:tblPr>
        <w:tblStyle w:val="12"/>
        <w:tblW w:w="9297" w:type="dxa"/>
        <w:tblLook w:val="04A0"/>
      </w:tblPr>
      <w:tblGrid>
        <w:gridCol w:w="675"/>
        <w:gridCol w:w="5764"/>
        <w:gridCol w:w="737"/>
        <w:gridCol w:w="707"/>
        <w:gridCol w:w="707"/>
        <w:gridCol w:w="707"/>
      </w:tblGrid>
      <w:tr w:rsidR="00C54059" w:rsidRPr="00C54059" w:rsidTr="007915A2">
        <w:tc>
          <w:tcPr>
            <w:tcW w:w="675"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w:t>
            </w:r>
          </w:p>
        </w:tc>
        <w:tc>
          <w:tcPr>
            <w:tcW w:w="576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Наименование показателя</w:t>
            </w:r>
          </w:p>
        </w:tc>
        <w:tc>
          <w:tcPr>
            <w:tcW w:w="73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 кв.</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 кв.</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 кв.</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 кв.</w:t>
            </w:r>
          </w:p>
        </w:tc>
      </w:tr>
      <w:tr w:rsidR="00C54059" w:rsidRPr="00C54059" w:rsidTr="007915A2">
        <w:tc>
          <w:tcPr>
            <w:tcW w:w="675"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w:t>
            </w:r>
          </w:p>
        </w:tc>
        <w:tc>
          <w:tcPr>
            <w:tcW w:w="576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Общее количество личных карт, шт.</w:t>
            </w:r>
          </w:p>
        </w:tc>
        <w:tc>
          <w:tcPr>
            <w:tcW w:w="73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666</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856</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1100</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1414</w:t>
            </w:r>
          </w:p>
        </w:tc>
      </w:tr>
      <w:tr w:rsidR="00C54059" w:rsidRPr="00C54059" w:rsidTr="007915A2">
        <w:tc>
          <w:tcPr>
            <w:tcW w:w="675"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w:t>
            </w:r>
          </w:p>
        </w:tc>
        <w:tc>
          <w:tcPr>
            <w:tcW w:w="576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Остатки на счетах личных МБК на балансе, тыс. руб.</w:t>
            </w:r>
          </w:p>
        </w:tc>
        <w:tc>
          <w:tcPr>
            <w:tcW w:w="73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2019</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2640</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3437</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4620</w:t>
            </w:r>
          </w:p>
        </w:tc>
      </w:tr>
      <w:tr w:rsidR="00C54059" w:rsidRPr="00C54059" w:rsidTr="007915A2">
        <w:tc>
          <w:tcPr>
            <w:tcW w:w="675"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w:t>
            </w:r>
          </w:p>
        </w:tc>
        <w:tc>
          <w:tcPr>
            <w:tcW w:w="576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Остатки на 1 личную карту, руб./шт.</w:t>
            </w:r>
          </w:p>
        </w:tc>
        <w:tc>
          <w:tcPr>
            <w:tcW w:w="73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3032</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3084</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3125</w:t>
            </w:r>
          </w:p>
        </w:tc>
        <w:tc>
          <w:tcPr>
            <w:tcW w:w="707"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3267</w:t>
            </w:r>
          </w:p>
        </w:tc>
      </w:tr>
    </w:tbl>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Исследования показывают, что использование банковских карт стало значительно шире. Если раньше, так называемые, зарплатные карты использовали всего два раза в месяц, то последние годы показывают увеличения объема платежей пластиковыми картами по оплате товаров, работ и услуг. По разным данным среднее использование банковских карт – от 4 до 10 раз в месяц.</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Принимаем, среднее использование – 7 раз, следовательно, в квартал – 21 раз. Обслуживание стандартной карты </w:t>
      </w:r>
      <w:r>
        <w:rPr>
          <w:rFonts w:ascii="Times New Roman" w:eastAsia="Times New Roman" w:hAnsi="Times New Roman" w:cs="Times New Roman"/>
          <w:sz w:val="28"/>
          <w:szCs w:val="28"/>
          <w:lang w:eastAsia="ru-RU"/>
        </w:rPr>
        <w:t>Москомприватбанк-</w:t>
      </w:r>
      <w:r w:rsidRPr="00C54059">
        <w:rPr>
          <w:rFonts w:ascii="Times New Roman" w:eastAsia="Times New Roman" w:hAnsi="Times New Roman" w:cs="Times New Roman"/>
          <w:sz w:val="28"/>
          <w:szCs w:val="28"/>
          <w:lang w:eastAsia="ru-RU"/>
        </w:rPr>
        <w:t xml:space="preserve"> 300 руб.</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Прогнозные значения на 2013 год дохода от обслуживания карт-счетов в </w:t>
      </w:r>
      <w:r>
        <w:rPr>
          <w:rFonts w:ascii="Times New Roman" w:eastAsia="Times New Roman" w:hAnsi="Times New Roman" w:cs="Times New Roman"/>
          <w:sz w:val="28"/>
          <w:szCs w:val="28"/>
          <w:lang w:eastAsia="ru-RU"/>
        </w:rPr>
        <w:t xml:space="preserve">Москомприватбанк </w:t>
      </w:r>
      <w:r w:rsidRPr="00C54059">
        <w:rPr>
          <w:rFonts w:ascii="Times New Roman" w:eastAsia="Times New Roman" w:hAnsi="Times New Roman" w:cs="Times New Roman"/>
          <w:sz w:val="28"/>
          <w:szCs w:val="28"/>
          <w:lang w:eastAsia="ru-RU"/>
        </w:rPr>
        <w:t xml:space="preserve">представлены в таблице </w:t>
      </w:r>
      <w:r>
        <w:rPr>
          <w:rFonts w:ascii="Times New Roman" w:eastAsia="Times New Roman" w:hAnsi="Times New Roman" w:cs="Times New Roman"/>
          <w:sz w:val="28"/>
          <w:szCs w:val="28"/>
          <w:lang w:eastAsia="ru-RU"/>
        </w:rPr>
        <w:t>3.10</w:t>
      </w:r>
      <w:r w:rsidRPr="00C54059">
        <w:rPr>
          <w:rFonts w:ascii="Times New Roman" w:eastAsia="Times New Roman" w:hAnsi="Times New Roman" w:cs="Times New Roman"/>
          <w:sz w:val="28"/>
          <w:szCs w:val="28"/>
          <w:lang w:eastAsia="ru-RU"/>
        </w:rPr>
        <w:t>.</w:t>
      </w:r>
    </w:p>
    <w:p w:rsidR="00C54059" w:rsidRPr="00C54059" w:rsidRDefault="00C54059" w:rsidP="00C54059">
      <w:pPr>
        <w:spacing w:after="0" w:line="360" w:lineRule="auto"/>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Таблица </w:t>
      </w:r>
      <w:r>
        <w:rPr>
          <w:rFonts w:ascii="Times New Roman" w:eastAsia="Times New Roman" w:hAnsi="Times New Roman" w:cs="Times New Roman"/>
          <w:sz w:val="28"/>
          <w:szCs w:val="28"/>
          <w:lang w:eastAsia="ru-RU"/>
        </w:rPr>
        <w:t>3.10</w:t>
      </w:r>
      <w:r w:rsidRPr="00C54059">
        <w:rPr>
          <w:rFonts w:ascii="Times New Roman" w:eastAsia="Times New Roman" w:hAnsi="Times New Roman" w:cs="Times New Roman"/>
          <w:sz w:val="28"/>
          <w:szCs w:val="28"/>
          <w:lang w:eastAsia="ru-RU"/>
        </w:rPr>
        <w:t xml:space="preserve"> Прогнозные значения на 2013 год дохода от обслуживания карт-счетов </w:t>
      </w:r>
    </w:p>
    <w:tbl>
      <w:tblPr>
        <w:tblStyle w:val="12"/>
        <w:tblW w:w="9602" w:type="dxa"/>
        <w:tblLook w:val="04A0"/>
      </w:tblPr>
      <w:tblGrid>
        <w:gridCol w:w="1101"/>
        <w:gridCol w:w="2871"/>
        <w:gridCol w:w="986"/>
        <w:gridCol w:w="1126"/>
        <w:gridCol w:w="1126"/>
        <w:gridCol w:w="1126"/>
        <w:gridCol w:w="1266"/>
      </w:tblGrid>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Наименование показателя</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 кв.</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 кв.</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 кв.</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 кв.</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За год</w:t>
            </w:r>
          </w:p>
        </w:tc>
      </w:tr>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Общее количество личных карт, шт.</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666</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856</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1100</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1414</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1414</w:t>
            </w:r>
          </w:p>
        </w:tc>
      </w:tr>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Вновь выданные карты, шт.</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148</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190</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244</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314</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896</w:t>
            </w:r>
          </w:p>
        </w:tc>
      </w:tr>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Доход от обслуживания новых карт, тыс. руб.</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44,4</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57,0</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73,2</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94,2</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268,8</w:t>
            </w:r>
          </w:p>
        </w:tc>
      </w:tr>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Остатки на 1 личную карту, руб./шт.</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3032</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3084</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3125</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3267</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w:t>
            </w:r>
          </w:p>
        </w:tc>
      </w:tr>
      <w:tr w:rsidR="00C54059" w:rsidRPr="00C54059" w:rsidTr="007915A2">
        <w:tc>
          <w:tcPr>
            <w:tcW w:w="110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w:t>
            </w:r>
          </w:p>
        </w:tc>
        <w:tc>
          <w:tcPr>
            <w:tcW w:w="2871"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Доход от использования личных МБК, тыс. руб. (0,75%)</w:t>
            </w:r>
          </w:p>
        </w:tc>
        <w:tc>
          <w:tcPr>
            <w:tcW w:w="98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318,04</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415,785</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541,406</w:t>
            </w:r>
          </w:p>
        </w:tc>
        <w:tc>
          <w:tcPr>
            <w:tcW w:w="112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727,577</w:t>
            </w:r>
          </w:p>
        </w:tc>
        <w:tc>
          <w:tcPr>
            <w:tcW w:w="1266"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2002,808</w:t>
            </w:r>
          </w:p>
        </w:tc>
      </w:tr>
    </w:tbl>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 xml:space="preserve">Таким образом, прогнозный доход от выдачи и обслуживания карт-счетов в 2013 году в </w:t>
      </w:r>
      <w:r>
        <w:rPr>
          <w:rFonts w:ascii="Times New Roman" w:eastAsia="Times New Roman" w:hAnsi="Times New Roman" w:cs="Times New Roman"/>
          <w:sz w:val="28"/>
          <w:szCs w:val="28"/>
          <w:lang w:eastAsia="ru-RU"/>
        </w:rPr>
        <w:t xml:space="preserve">Москомприватбанк </w:t>
      </w:r>
      <w:r w:rsidRPr="00C54059">
        <w:rPr>
          <w:rFonts w:ascii="Times New Roman" w:eastAsia="Times New Roman" w:hAnsi="Times New Roman" w:cs="Times New Roman"/>
          <w:sz w:val="28"/>
          <w:szCs w:val="28"/>
          <w:lang w:eastAsia="ru-RU"/>
        </w:rPr>
        <w:t>может составить:</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268,8 + 2002,808 = 2270,808 тыс. руб.</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Регистрация номера мобильного телефона Держателя и счета банковской карты, с которого будет производиться оплата Услуги «Мобильный банк», по данным Приложения 3 – бесплатна.</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После истечения первых 3-х месяцев с даты первичной регистрации мобильного телефона Держателя карты по картам, счета которых используются для списания платы за Услугу взимается от 30 до 60 руб. в зависимости от банковской карты.</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Принимаем среднее значение – 50 руб., так как практика показывает, что на данную услугу подключаются в основном держатели карт Visa Classic, MasterCard Standard, меньше Сбербанк-Maestro, Сбербанк-Visa Electron.</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Предоставление по запросу Держателя карты информации о доступном расходном лимите по банковской карте – 3 руб. за запрос. Принимаем 5 запросов. Предоставление по запросу Держателя карты краткой истории по счету банковской карты (5 последних операций) – 15 руб. за запрос. Принимаем - 1 запрос.</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Перевод денежных средств с одного счета банковской карты на другой счет банковской карты c использованием «Мобильного банка» так же, как и в случае с личной картой – 0,75% от суммы.</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Средний еже</w:t>
      </w:r>
      <w:r w:rsidR="005F1DF9">
        <w:rPr>
          <w:rFonts w:ascii="Times New Roman" w:eastAsia="Times New Roman" w:hAnsi="Times New Roman" w:cs="Times New Roman"/>
          <w:sz w:val="28"/>
          <w:szCs w:val="28"/>
          <w:lang w:eastAsia="ru-RU"/>
        </w:rPr>
        <w:t>квартальный темп прироста в 2011-2012</w:t>
      </w:r>
      <w:r w:rsidRPr="00C54059">
        <w:rPr>
          <w:rFonts w:ascii="Times New Roman" w:eastAsia="Times New Roman" w:hAnsi="Times New Roman" w:cs="Times New Roman"/>
          <w:sz w:val="28"/>
          <w:szCs w:val="28"/>
          <w:lang w:eastAsia="ru-RU"/>
        </w:rPr>
        <w:t xml:space="preserve"> годах по услуге «Мобильный банк» составил: 38,5 % (20,0+ 31,0+64,5)/3.</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Уравнение регрессии: уz = 424,8 + 3,429 z</w:t>
      </w:r>
    </w:p>
    <w:p w:rsidR="00C54059" w:rsidRPr="00C54059" w:rsidRDefault="00C54059" w:rsidP="00C54059">
      <w:pPr>
        <w:spacing w:after="0" w:line="360" w:lineRule="auto"/>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Таблица 3.</w:t>
      </w:r>
      <w:r>
        <w:rPr>
          <w:rFonts w:ascii="Times New Roman" w:eastAsia="Times New Roman" w:hAnsi="Times New Roman" w:cs="Times New Roman"/>
          <w:sz w:val="28"/>
          <w:szCs w:val="28"/>
          <w:lang w:eastAsia="ru-RU"/>
        </w:rPr>
        <w:t>11</w:t>
      </w:r>
      <w:r w:rsidRPr="00C54059">
        <w:rPr>
          <w:rFonts w:ascii="Times New Roman" w:eastAsia="Times New Roman" w:hAnsi="Times New Roman" w:cs="Times New Roman"/>
          <w:sz w:val="28"/>
          <w:szCs w:val="28"/>
          <w:lang w:eastAsia="ru-RU"/>
        </w:rPr>
        <w:t xml:space="preserve"> Прогнозные значения на 2013 год дохода от услуги «Мобильный банк» </w:t>
      </w:r>
    </w:p>
    <w:tbl>
      <w:tblPr>
        <w:tblStyle w:val="12"/>
        <w:tblW w:w="9116" w:type="dxa"/>
        <w:tblLook w:val="04A0"/>
      </w:tblPr>
      <w:tblGrid>
        <w:gridCol w:w="565"/>
        <w:gridCol w:w="3451"/>
        <w:gridCol w:w="996"/>
        <w:gridCol w:w="996"/>
        <w:gridCol w:w="996"/>
        <w:gridCol w:w="996"/>
        <w:gridCol w:w="1116"/>
      </w:tblGrid>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Наименование показателя</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 кв.</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 кв.</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 кв.</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 кв.</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За год</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Подключение услуги «Мобильный банк», шт.</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461</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638</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884</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1224</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1224</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Вновь подключенная услуга, шт.</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128</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177</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246</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340</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891</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lastRenderedPageBreak/>
              <w:t>3</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Доход от подключения услуги карт, тыс. руб.</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5,1</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6,4</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8,85</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12,3</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32,65</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Доходы от запросов, тыс. руб.</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13,83</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19,14</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26,52</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36,72</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96,21</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Остатки на 1 услугу, руб./шт.</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4350</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4095</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3910</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3776</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w:t>
            </w:r>
          </w:p>
        </w:tc>
      </w:tr>
      <w:tr w:rsidR="00C54059" w:rsidRPr="00C54059" w:rsidTr="007915A2">
        <w:tc>
          <w:tcPr>
            <w:tcW w:w="582"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6</w:t>
            </w:r>
          </w:p>
        </w:tc>
        <w:tc>
          <w:tcPr>
            <w:tcW w:w="3694"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Доходы от транзакций, тыс. руб.</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315,842</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411,486</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544,389</w:t>
            </w:r>
          </w:p>
        </w:tc>
        <w:tc>
          <w:tcPr>
            <w:tcW w:w="94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727,937</w:t>
            </w:r>
          </w:p>
        </w:tc>
        <w:tc>
          <w:tcPr>
            <w:tcW w:w="1080" w:type="dxa"/>
            <w:hideMark/>
          </w:tcPr>
          <w:p w:rsidR="00C54059" w:rsidRPr="00C54059" w:rsidRDefault="00C54059" w:rsidP="00C54059">
            <w:pPr>
              <w:jc w:val="both"/>
              <w:rPr>
                <w:rFonts w:ascii="Times New Roman" w:eastAsia="Times New Roman" w:hAnsi="Times New Roman" w:cs="Times New Roman"/>
                <w:sz w:val="24"/>
                <w:szCs w:val="24"/>
                <w:lang w:eastAsia="ru-RU"/>
              </w:rPr>
            </w:pPr>
            <w:r w:rsidRPr="00C54059">
              <w:rPr>
                <w:rFonts w:ascii="Times New Roman" w:eastAsia="Times New Roman" w:hAnsi="Times New Roman" w:cs="Times New Roman"/>
                <w:sz w:val="24"/>
                <w:szCs w:val="24"/>
                <w:lang w:eastAsia="ru-RU"/>
              </w:rPr>
              <w:t>1999,654</w:t>
            </w:r>
          </w:p>
        </w:tc>
      </w:tr>
    </w:tbl>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Таким образом, прогнозный доход о</w:t>
      </w:r>
      <w:r w:rsidR="005F1DF9">
        <w:rPr>
          <w:rFonts w:ascii="Times New Roman" w:eastAsia="Times New Roman" w:hAnsi="Times New Roman" w:cs="Times New Roman"/>
          <w:sz w:val="28"/>
          <w:szCs w:val="28"/>
          <w:lang w:eastAsia="ru-RU"/>
        </w:rPr>
        <w:t>т услуги «Мобильный банк» в 2013</w:t>
      </w:r>
      <w:r w:rsidRPr="00C54059">
        <w:rPr>
          <w:rFonts w:ascii="Times New Roman" w:eastAsia="Times New Roman" w:hAnsi="Times New Roman" w:cs="Times New Roman"/>
          <w:sz w:val="28"/>
          <w:szCs w:val="28"/>
          <w:lang w:eastAsia="ru-RU"/>
        </w:rPr>
        <w:t xml:space="preserve"> году может составить:</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32,65 + 96,21 + 1999,654 = 2128,514 тыс. руб.</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В итоге, развитие системы обслуживания в Связной банк только по двум представленным направлениям позволит получить дополнительный операционный доход в 2013 году в размере:</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2270,808 + 2128,514 = 4399,322 тыс. руб.</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Поэтому, планы Связной банк  по внедрению банковских карт и услуги «Мобильный банк» необходимо скорректировать с учетом прогнозных моделей, полученных на основе регрессионного анализа, что позволит существенно увеличить дополнительный операционный доход допофиса.</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Кроме того, результатом внедрения новых технологий и организации работы должен стать существенный рост производительности труда и эффективности систем управления.</w:t>
      </w:r>
    </w:p>
    <w:p w:rsidR="00C54059" w:rsidRPr="00C54059" w:rsidRDefault="00C54059" w:rsidP="00C54059">
      <w:pPr>
        <w:spacing w:after="0" w:line="360" w:lineRule="auto"/>
        <w:ind w:firstLine="709"/>
        <w:jc w:val="both"/>
        <w:rPr>
          <w:rFonts w:ascii="Times New Roman" w:eastAsia="Times New Roman" w:hAnsi="Times New Roman" w:cs="Times New Roman"/>
          <w:sz w:val="28"/>
          <w:szCs w:val="28"/>
          <w:lang w:eastAsia="ru-RU"/>
        </w:rPr>
      </w:pPr>
      <w:r w:rsidRPr="00C54059">
        <w:rPr>
          <w:rFonts w:ascii="Times New Roman" w:eastAsia="Times New Roman" w:hAnsi="Times New Roman" w:cs="Times New Roman"/>
          <w:sz w:val="28"/>
          <w:szCs w:val="28"/>
          <w:lang w:eastAsia="ru-RU"/>
        </w:rPr>
        <w:t>Это неизбежно повлечет за собой снижение затрат на содержание персонала, и уменьшение общего числа работников банка.</w:t>
      </w:r>
    </w:p>
    <w:p w:rsidR="00C54059" w:rsidRPr="00C54059" w:rsidRDefault="00C54059" w:rsidP="00C54059">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p>
    <w:p w:rsidR="00C54059" w:rsidRPr="00C54059" w:rsidRDefault="00C54059" w:rsidP="00C54059"/>
    <w:p w:rsidR="00062354" w:rsidRDefault="00062354" w:rsidP="00062354"/>
    <w:p w:rsidR="00C54059" w:rsidRDefault="00C54059" w:rsidP="00062354"/>
    <w:p w:rsidR="00C54059" w:rsidRDefault="00C54059" w:rsidP="00062354"/>
    <w:p w:rsidR="00C54059" w:rsidRDefault="00C54059" w:rsidP="00062354"/>
    <w:p w:rsidR="00C54059" w:rsidRDefault="00C54059" w:rsidP="00062354"/>
    <w:p w:rsidR="00062354" w:rsidRDefault="00062354" w:rsidP="00062354"/>
    <w:p w:rsidR="00C84A80" w:rsidRPr="00062354" w:rsidRDefault="00C84A80" w:rsidP="00062354">
      <w:pPr>
        <w:pStyle w:val="2"/>
        <w:spacing w:before="0" w:line="360" w:lineRule="auto"/>
        <w:jc w:val="center"/>
        <w:rPr>
          <w:rFonts w:ascii="Times New Roman" w:hAnsi="Times New Roman" w:cs="Times New Roman"/>
          <w:color w:val="auto"/>
          <w:sz w:val="28"/>
          <w:szCs w:val="28"/>
        </w:rPr>
      </w:pPr>
      <w:bookmarkStart w:id="15" w:name="_Toc360362458"/>
      <w:r w:rsidRPr="00062354">
        <w:rPr>
          <w:rFonts w:ascii="Times New Roman" w:hAnsi="Times New Roman" w:cs="Times New Roman"/>
          <w:color w:val="auto"/>
          <w:sz w:val="28"/>
          <w:szCs w:val="28"/>
        </w:rPr>
        <w:lastRenderedPageBreak/>
        <w:t>Заключение</w:t>
      </w:r>
      <w:bookmarkEnd w:id="4"/>
      <w:bookmarkEnd w:id="15"/>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hAnsi="Times New Roman" w:cs="Times New Roman"/>
          <w:sz w:val="28"/>
          <w:szCs w:val="28"/>
        </w:rPr>
        <w:t>Прохождение практики является важным элементом учебного процесса по подготовке специалиста в области менеджмента.</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За время прохождения практике в операционном офисе банка, я ознакомилась со структурой и деятельностью организации, с правилами внутреннего трудового распорядка, с правилами техники безопасности, с уставом банка. Полностью и своевременно выполняла задания, предусмотренные  руководителем практики от  банка, закрепила и расширила теоретические и практические знания, приобрела навыки ведения самостоятельной и практической работы. </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 Хочется отметить, что на протяжении всей практики работники банка старалась, что бы я участвовала во всех вопросах связанных с работой операционного офиса.  </w:t>
      </w:r>
    </w:p>
    <w:p w:rsidR="00C84A80" w:rsidRPr="00C84A80" w:rsidRDefault="00C84A80" w:rsidP="00C84A80">
      <w:pPr>
        <w:spacing w:after="0" w:line="360" w:lineRule="auto"/>
        <w:ind w:firstLine="709"/>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 В ходе прохождения практики я не только знакомилась с  документами операционного офиса, но и помогала в работе с  инвентаризацией документов, прошла стажировку во всех отделах банка. В них мне помогали разобраться и понять принцип работы группы по работе с физическими лицами и его роль в общей работе  операционного офиса.</w:t>
      </w:r>
    </w:p>
    <w:p w:rsidR="00C84A80" w:rsidRPr="00C84A80" w:rsidRDefault="00C84A80" w:rsidP="00C84A80">
      <w:pPr>
        <w:spacing w:after="0" w:line="360" w:lineRule="auto"/>
        <w:ind w:firstLine="709"/>
        <w:jc w:val="both"/>
        <w:rPr>
          <w:rFonts w:ascii="Times New Roman" w:hAnsi="Times New Roman" w:cs="Times New Roman"/>
          <w:sz w:val="28"/>
          <w:szCs w:val="28"/>
        </w:rPr>
      </w:pPr>
      <w:r w:rsidRPr="00C84A80">
        <w:rPr>
          <w:rFonts w:ascii="Times New Roman" w:eastAsia="Times New Roman" w:hAnsi="Times New Roman" w:cs="Times New Roman"/>
          <w:sz w:val="28"/>
          <w:szCs w:val="28"/>
          <w:lang w:eastAsia="ru-RU"/>
        </w:rPr>
        <w:t>Полученные мною практические и теоретические навыки во время прохождения практики помогли мне написать отчет.</w:t>
      </w:r>
    </w:p>
    <w:p w:rsidR="00C84A80" w:rsidRPr="00C84A80" w:rsidRDefault="00C84A80" w:rsidP="00C84A80">
      <w:pPr>
        <w:spacing w:after="0" w:line="360" w:lineRule="auto"/>
        <w:ind w:firstLine="709"/>
        <w:jc w:val="both"/>
        <w:rPr>
          <w:rFonts w:ascii="Times New Roman" w:hAnsi="Times New Roman" w:cs="Times New Roman"/>
          <w:sz w:val="28"/>
          <w:szCs w:val="28"/>
        </w:rPr>
      </w:pPr>
    </w:p>
    <w:p w:rsidR="00C84A80" w:rsidRPr="00C84A80" w:rsidRDefault="00C84A80" w:rsidP="00C84A80">
      <w:pPr>
        <w:spacing w:after="0" w:line="360" w:lineRule="auto"/>
        <w:jc w:val="both"/>
        <w:rPr>
          <w:rFonts w:ascii="Times New Roman" w:hAnsi="Times New Roman" w:cs="Times New Roman"/>
          <w:sz w:val="28"/>
          <w:szCs w:val="28"/>
        </w:rPr>
      </w:pPr>
    </w:p>
    <w:p w:rsidR="00C84A80" w:rsidRPr="00C84A80" w:rsidRDefault="00C84A80" w:rsidP="00C84A80">
      <w:pPr>
        <w:spacing w:after="0" w:line="360" w:lineRule="auto"/>
        <w:jc w:val="both"/>
        <w:rPr>
          <w:rFonts w:ascii="Times New Roman" w:hAnsi="Times New Roman" w:cs="Times New Roman"/>
          <w:sz w:val="28"/>
          <w:szCs w:val="28"/>
        </w:rPr>
      </w:pPr>
    </w:p>
    <w:p w:rsidR="00C84A80" w:rsidRPr="00C84A80" w:rsidRDefault="00C84A80" w:rsidP="00C84A80">
      <w:pPr>
        <w:spacing w:after="0" w:line="360" w:lineRule="auto"/>
        <w:jc w:val="both"/>
        <w:rPr>
          <w:rFonts w:ascii="Times New Roman" w:hAnsi="Times New Roman" w:cs="Times New Roman"/>
          <w:sz w:val="28"/>
          <w:szCs w:val="28"/>
        </w:rPr>
      </w:pPr>
    </w:p>
    <w:p w:rsidR="00C84A80" w:rsidRPr="00C84A80" w:rsidRDefault="00C84A80" w:rsidP="00C84A80">
      <w:pPr>
        <w:spacing w:after="0" w:line="360" w:lineRule="auto"/>
        <w:jc w:val="both"/>
        <w:rPr>
          <w:rFonts w:ascii="Times New Roman" w:hAnsi="Times New Roman" w:cs="Times New Roman"/>
          <w:sz w:val="28"/>
          <w:szCs w:val="28"/>
        </w:rPr>
      </w:pPr>
    </w:p>
    <w:p w:rsidR="00C84A80" w:rsidRPr="00C84A80" w:rsidRDefault="00C84A80" w:rsidP="00C84A80">
      <w:pPr>
        <w:spacing w:after="0" w:line="360" w:lineRule="auto"/>
        <w:jc w:val="both"/>
        <w:rPr>
          <w:rFonts w:ascii="Times New Roman" w:hAnsi="Times New Roman" w:cs="Times New Roman"/>
          <w:sz w:val="28"/>
          <w:szCs w:val="28"/>
        </w:rPr>
      </w:pPr>
    </w:p>
    <w:p w:rsidR="00C84A80" w:rsidRDefault="00C84A80" w:rsidP="00C84A80">
      <w:pPr>
        <w:keepNext/>
        <w:keepLines/>
        <w:spacing w:after="0" w:line="360" w:lineRule="auto"/>
        <w:jc w:val="center"/>
        <w:outlineLvl w:val="1"/>
        <w:rPr>
          <w:rFonts w:ascii="Times New Roman" w:eastAsiaTheme="majorEastAsia" w:hAnsi="Times New Roman" w:cs="Times New Roman"/>
          <w:b/>
          <w:bCs/>
          <w:sz w:val="28"/>
          <w:szCs w:val="28"/>
          <w:lang w:eastAsia="ru-RU"/>
        </w:rPr>
      </w:pPr>
    </w:p>
    <w:p w:rsidR="00062354" w:rsidRDefault="00062354" w:rsidP="00C84A80">
      <w:pPr>
        <w:keepNext/>
        <w:keepLines/>
        <w:spacing w:after="0" w:line="360" w:lineRule="auto"/>
        <w:jc w:val="center"/>
        <w:outlineLvl w:val="1"/>
        <w:rPr>
          <w:rFonts w:ascii="Times New Roman" w:eastAsiaTheme="majorEastAsia" w:hAnsi="Times New Roman" w:cs="Times New Roman"/>
          <w:b/>
          <w:bCs/>
          <w:sz w:val="28"/>
          <w:szCs w:val="28"/>
          <w:lang w:eastAsia="ru-RU"/>
        </w:rPr>
      </w:pPr>
    </w:p>
    <w:p w:rsidR="00062354" w:rsidRDefault="00062354" w:rsidP="00062354">
      <w:pPr>
        <w:rPr>
          <w:lang w:eastAsia="ru-RU"/>
        </w:rPr>
      </w:pPr>
    </w:p>
    <w:p w:rsidR="00062354" w:rsidRDefault="00062354" w:rsidP="00062354">
      <w:pPr>
        <w:rPr>
          <w:lang w:eastAsia="ru-RU"/>
        </w:rPr>
      </w:pPr>
    </w:p>
    <w:p w:rsidR="00C84A80" w:rsidRPr="00062354" w:rsidRDefault="00C84A80" w:rsidP="00062354">
      <w:pPr>
        <w:pStyle w:val="2"/>
        <w:spacing w:before="0" w:line="360" w:lineRule="auto"/>
        <w:jc w:val="center"/>
        <w:rPr>
          <w:rFonts w:ascii="Times New Roman" w:hAnsi="Times New Roman" w:cs="Times New Roman"/>
          <w:color w:val="auto"/>
          <w:sz w:val="28"/>
          <w:szCs w:val="28"/>
          <w:lang w:eastAsia="ru-RU"/>
        </w:rPr>
      </w:pPr>
      <w:bookmarkStart w:id="16" w:name="_Toc360362459"/>
      <w:r w:rsidRPr="00062354">
        <w:rPr>
          <w:rFonts w:ascii="Times New Roman" w:hAnsi="Times New Roman" w:cs="Times New Roman"/>
          <w:color w:val="auto"/>
          <w:sz w:val="28"/>
          <w:szCs w:val="28"/>
          <w:lang w:eastAsia="ru-RU"/>
        </w:rPr>
        <w:lastRenderedPageBreak/>
        <w:t>Список используемых источников</w:t>
      </w:r>
      <w:bookmarkEnd w:id="5"/>
      <w:bookmarkEnd w:id="6"/>
      <w:bookmarkEnd w:id="7"/>
      <w:bookmarkEnd w:id="8"/>
      <w:bookmarkEnd w:id="9"/>
      <w:bookmarkEnd w:id="16"/>
    </w:p>
    <w:p w:rsidR="00C84A80" w:rsidRPr="00C84A80" w:rsidRDefault="00C84A80" w:rsidP="00C84A80">
      <w:pPr>
        <w:numPr>
          <w:ilvl w:val="0"/>
          <w:numId w:val="2"/>
        </w:numPr>
        <w:spacing w:after="0" w:line="360" w:lineRule="auto"/>
        <w:ind w:left="426"/>
        <w:contextualSpacing/>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Инструкция Банка России «Об обязательных нормативах банков», 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b/>
          <w:i/>
          <w:sz w:val="28"/>
          <w:szCs w:val="28"/>
          <w:lang w:eastAsia="ru-RU"/>
        </w:rPr>
      </w:pPr>
      <w:r w:rsidRPr="00C84A80">
        <w:rPr>
          <w:rFonts w:ascii="Times New Roman" w:eastAsia="Times New Roman" w:hAnsi="Times New Roman" w:cs="Times New Roman"/>
          <w:sz w:val="28"/>
          <w:szCs w:val="28"/>
          <w:lang w:eastAsia="ru-RU"/>
        </w:rPr>
        <w:t>Инструкция Банка России от 1 декабря 2003 года N 108-И «Об организации инспекционной деятельности Центрального банка Российской Федерации (Банка России)» ,Консультант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Положение о правилах организации наличного денежного обращения на территории Российской Федерации, 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Положение Банка России «О безналичных расчетах в Российской Федерации»,Консультант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Положение Банка России «О порядке формирования кредитными организациями резервов на возможные потери по ссудам, по ссудной и приравненной к ней задолженности», 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Инструкция Банка России «О правилах выпуска и регистрации ценных бумаг кредитными организациями на территории Российской Федерации», Консультант плюс,2013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Положение ЦБ РФ «О порядке предоставления (размещения) кредитными организациями денежных средств и их возврата (погашения)»</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 xml:space="preserve"> Правовая Система Гарант,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Федеральный закон « О Центральном банке Российской федерации (Банке России)», Правовая Система Гарант, 2013</w:t>
      </w:r>
      <w:r w:rsidRPr="00C84A80">
        <w:rPr>
          <w:rFonts w:ascii="Times New Roman" w:eastAsia="Times New Roman" w:hAnsi="Times New Roman" w:cs="Times New Roman"/>
          <w:sz w:val="28"/>
          <w:szCs w:val="28"/>
          <w:lang w:eastAsia="ru-RU"/>
        </w:rPr>
        <w:tab/>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Федеральный закон «О банках и банковской деятельности» , Правовая Система Гарант,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Положение ЦБ РФ «О порядке начисления процентов по операциям, связанным с привлечением и размещением денежных средств банками, отражения указанных операций по счетам бухгалтерского учета», Правовая Система Гарант, 2013</w:t>
      </w:r>
    </w:p>
    <w:p w:rsidR="00C84A80" w:rsidRPr="00C84A80" w:rsidRDefault="00C84A80" w:rsidP="00C84A80">
      <w:pPr>
        <w:widowControl w:val="0"/>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Инструкция ЦБ РФ «О порядке регулирования деятельности банков». Консультант Плюс, 2013. </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lastRenderedPageBreak/>
        <w:t xml:space="preserve">Федеральный закон </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О банках и банковской деятельности в РФ</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 Консультант плюс,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Федеральный закон </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О валютном регулировании и валютном контроле</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 Консультант плюс,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Федеральный закон </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О порядке регулирования деятельности банков</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 Консультант плюс,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 xml:space="preserve">Федеральный закон </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О рынке ценных бумаг, Консультант плюс</w:t>
      </w:r>
      <w:r w:rsidR="000033ED">
        <w:rPr>
          <w:rFonts w:ascii="Times New Roman" w:eastAsia="Times New Roman" w:hAnsi="Times New Roman" w:cs="Times New Roman"/>
          <w:sz w:val="28"/>
          <w:szCs w:val="28"/>
          <w:lang w:eastAsia="ru-RU"/>
        </w:rPr>
        <w:t>»</w:t>
      </w:r>
      <w:r w:rsidRPr="00C84A80">
        <w:rPr>
          <w:rFonts w:ascii="Times New Roman" w:eastAsia="Times New Roman" w:hAnsi="Times New Roman" w:cs="Times New Roman"/>
          <w:sz w:val="28"/>
          <w:szCs w:val="28"/>
          <w:lang w:eastAsia="ru-RU"/>
        </w:rPr>
        <w:t>, 2013</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Андрюшин С. А. Особенности эволюции банковской системы в России. М., Банкъ,2011</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Банки и банковские операции: Учебник /Под ред. проф. Жукова Е.Ф., М: ЮНИТИ, 2010</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Банковское дело /Под ред. Лаврушина О.И. - М.: Банковский и биржевой НКЦ, 2010</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Белых Л.П. Устойчивость коммерческих банков. М.: Банки и биржи. 2010</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Деньги, кредит, банки: Учеб.пособие /Под ред. В.П. Воронина, С.П. Федорова,  М: Юрайт,2010</w:t>
      </w:r>
    </w:p>
    <w:p w:rsidR="00C84A80" w:rsidRPr="00C84A80" w:rsidRDefault="00C84A80" w:rsidP="00C84A80">
      <w:pPr>
        <w:widowControl w:val="0"/>
        <w:numPr>
          <w:ilvl w:val="0"/>
          <w:numId w:val="2"/>
        </w:numPr>
        <w:autoSpaceDE w:val="0"/>
        <w:autoSpaceDN w:val="0"/>
        <w:adjustRightInd w:val="0"/>
        <w:spacing w:after="0" w:line="360" w:lineRule="auto"/>
        <w:ind w:left="426" w:right="284"/>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Деньги, кредит, банки. Учебник. Лаврушин О.И. -3-е изд., -М.: КноРус,2008</w:t>
      </w:r>
    </w:p>
    <w:p w:rsidR="00C84A80" w:rsidRPr="00C84A80" w:rsidRDefault="00C84A80" w:rsidP="00C84A80">
      <w:pPr>
        <w:widowControl w:val="0"/>
        <w:numPr>
          <w:ilvl w:val="0"/>
          <w:numId w:val="2"/>
        </w:numPr>
        <w:autoSpaceDE w:val="0"/>
        <w:autoSpaceDN w:val="0"/>
        <w:adjustRightInd w:val="0"/>
        <w:spacing w:after="0" w:line="360" w:lineRule="auto"/>
        <w:ind w:left="426" w:right="284"/>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Деньги, кредит, банки. Воронин В.П., Федосова С.П. –М.: Юрайт, 2008</w:t>
      </w:r>
    </w:p>
    <w:p w:rsidR="00C84A80" w:rsidRPr="00C84A80" w:rsidRDefault="00C84A80" w:rsidP="00C84A80">
      <w:pPr>
        <w:widowControl w:val="0"/>
        <w:numPr>
          <w:ilvl w:val="0"/>
          <w:numId w:val="2"/>
        </w:numPr>
        <w:autoSpaceDE w:val="0"/>
        <w:autoSpaceDN w:val="0"/>
        <w:adjustRightInd w:val="0"/>
        <w:spacing w:after="0" w:line="360" w:lineRule="auto"/>
        <w:ind w:left="426" w:right="284"/>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Деньги, кредит, банки. Щегорцев В.А., Таран В.А. –М.: ЮНИТИ, 2010</w:t>
      </w:r>
    </w:p>
    <w:p w:rsidR="00C84A80" w:rsidRPr="00C84A80" w:rsidRDefault="00C84A80" w:rsidP="00C84A80">
      <w:pPr>
        <w:widowControl w:val="0"/>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Деньги, кредит, банки: Учебник / под ред. Жукова Е.Ф. –  М.: ЮНИТИ, 2010</w:t>
      </w:r>
    </w:p>
    <w:p w:rsidR="00C84A80" w:rsidRPr="00C84A80" w:rsidRDefault="00C84A80" w:rsidP="00C84A80">
      <w:pPr>
        <w:widowControl w:val="0"/>
        <w:numPr>
          <w:ilvl w:val="0"/>
          <w:numId w:val="2"/>
        </w:numPr>
        <w:autoSpaceDE w:val="0"/>
        <w:autoSpaceDN w:val="0"/>
        <w:adjustRightInd w:val="0"/>
        <w:spacing w:after="0" w:line="360" w:lineRule="auto"/>
        <w:ind w:left="426" w:right="284"/>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pacing w:val="1"/>
          <w:sz w:val="28"/>
          <w:szCs w:val="28"/>
          <w:lang w:eastAsia="ru-RU"/>
        </w:rPr>
        <w:t>Банковское дело /Под ред. Лаврушина О.И. - М.: Финансы и стати</w:t>
      </w:r>
      <w:r w:rsidRPr="00C84A80">
        <w:rPr>
          <w:rFonts w:ascii="Times New Roman" w:eastAsia="Times New Roman" w:hAnsi="Times New Roman" w:cs="Times New Roman"/>
          <w:spacing w:val="1"/>
          <w:sz w:val="28"/>
          <w:szCs w:val="28"/>
          <w:lang w:eastAsia="ru-RU"/>
        </w:rPr>
        <w:softHyphen/>
      </w:r>
      <w:r w:rsidRPr="00C84A80">
        <w:rPr>
          <w:rFonts w:ascii="Times New Roman" w:eastAsia="Times New Roman" w:hAnsi="Times New Roman" w:cs="Times New Roman"/>
          <w:spacing w:val="-2"/>
          <w:sz w:val="28"/>
          <w:szCs w:val="28"/>
          <w:lang w:eastAsia="ru-RU"/>
        </w:rPr>
        <w:t>стика, 2010</w:t>
      </w:r>
    </w:p>
    <w:p w:rsidR="00C84A80" w:rsidRPr="00C84A80" w:rsidRDefault="00C84A80" w:rsidP="00C84A80">
      <w:pPr>
        <w:widowControl w:val="0"/>
        <w:numPr>
          <w:ilvl w:val="0"/>
          <w:numId w:val="2"/>
        </w:numPr>
        <w:autoSpaceDE w:val="0"/>
        <w:autoSpaceDN w:val="0"/>
        <w:adjustRightInd w:val="0"/>
        <w:spacing w:after="0" w:line="360" w:lineRule="auto"/>
        <w:ind w:left="426" w:right="284"/>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pacing w:val="-1"/>
          <w:sz w:val="28"/>
          <w:szCs w:val="28"/>
          <w:lang w:eastAsia="ru-RU"/>
        </w:rPr>
        <w:t>Деньги, кредит, банки: Конспект лекций. Малахова Н.Г. –П.: ПРИОР,2009</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Маркова О. М., Сахарова Л.С., Сидорова В.Н., Коммерческие банки и их операции, М.: ЮНИТИ, 2009</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t>Финансы. Денежное обращение, кредит: Учебник / Под ред. Л.А. Дробозиной. – М.,2009</w:t>
      </w:r>
    </w:p>
    <w:p w:rsidR="00C84A80" w:rsidRPr="00C84A80" w:rsidRDefault="00C84A80" w:rsidP="00C84A80">
      <w:pPr>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C84A80">
        <w:rPr>
          <w:rFonts w:ascii="Times New Roman" w:eastAsia="Times New Roman" w:hAnsi="Times New Roman" w:cs="Times New Roman"/>
          <w:sz w:val="28"/>
          <w:szCs w:val="28"/>
          <w:lang w:eastAsia="ru-RU"/>
        </w:rPr>
        <w:lastRenderedPageBreak/>
        <w:t>Финансы, деньги, кредит: Учеб.пособие/ под ред. Е.Г. Черновой. – М.: ТК Велби, 2009</w:t>
      </w:r>
    </w:p>
    <w:p w:rsidR="00C84A80" w:rsidRPr="00C84A80" w:rsidRDefault="00727185" w:rsidP="00C84A80">
      <w:pPr>
        <w:widowControl w:val="0"/>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727185">
        <w:rPr>
          <w:rFonts w:ascii="Times New Roman" w:hAnsi="Times New Roman" w:cs="Times New Roman"/>
          <w:sz w:val="28"/>
          <w:szCs w:val="28"/>
        </w:rPr>
        <w:t>Информационный сайт о банках, о кредитах, о процентах, о деньгах и финансах. Электронный ресурс. Режим доступа:</w:t>
      </w:r>
      <w:r w:rsidR="00C84A80" w:rsidRPr="00C84A80">
        <w:rPr>
          <w:rFonts w:ascii="Times New Roman" w:eastAsia="Times New Roman" w:hAnsi="Times New Roman" w:cs="Times New Roman"/>
          <w:sz w:val="28"/>
          <w:szCs w:val="28"/>
          <w:lang w:eastAsia="ru-RU"/>
        </w:rPr>
        <w:t>http://www.banki-delo.ru/</w:t>
      </w:r>
    </w:p>
    <w:p w:rsidR="00727185" w:rsidRPr="00727185" w:rsidRDefault="00727185" w:rsidP="00727185">
      <w:pPr>
        <w:widowControl w:val="0"/>
        <w:numPr>
          <w:ilvl w:val="0"/>
          <w:numId w:val="2"/>
        </w:numPr>
        <w:spacing w:after="0" w:line="360" w:lineRule="auto"/>
        <w:ind w:left="426"/>
        <w:contextualSpacing/>
        <w:jc w:val="both"/>
        <w:rPr>
          <w:rFonts w:ascii="Times New Roman" w:eastAsia="Times New Roman" w:hAnsi="Times New Roman" w:cs="Times New Roman"/>
          <w:sz w:val="28"/>
          <w:szCs w:val="28"/>
          <w:lang w:eastAsia="ru-RU"/>
        </w:rPr>
      </w:pPr>
      <w:r w:rsidRPr="00727185">
        <w:rPr>
          <w:rFonts w:ascii="Times New Roman" w:eastAsia="Times New Roman" w:hAnsi="Times New Roman" w:cs="Times New Roman"/>
          <w:sz w:val="28"/>
          <w:szCs w:val="28"/>
          <w:lang w:eastAsia="ru-RU"/>
        </w:rPr>
        <w:t>Информационный портал. Электоронный ресурс.</w:t>
      </w:r>
    </w:p>
    <w:p w:rsidR="00C84A80" w:rsidRPr="00C84A80" w:rsidRDefault="00727185" w:rsidP="00727185">
      <w:pPr>
        <w:widowControl w:val="0"/>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Режим доступ:</w:t>
      </w:r>
      <w:r w:rsidRPr="00727185">
        <w:rPr>
          <w:rFonts w:ascii="Times New Roman" w:eastAsia="Times New Roman" w:hAnsi="Times New Roman" w:cs="Times New Roman"/>
          <w:sz w:val="28"/>
          <w:szCs w:val="28"/>
          <w:lang w:eastAsia="ru-RU"/>
        </w:rPr>
        <w:t xml:space="preserve"> </w:t>
      </w:r>
      <w:r w:rsidR="00C84A80" w:rsidRPr="00C84A80">
        <w:rPr>
          <w:rFonts w:ascii="Times New Roman" w:eastAsia="Times New Roman" w:hAnsi="Times New Roman" w:cs="Times New Roman"/>
          <w:sz w:val="28"/>
          <w:szCs w:val="28"/>
          <w:lang w:val="en-US" w:eastAsia="ru-RU"/>
        </w:rPr>
        <w:t>www</w:t>
      </w:r>
      <w:r w:rsidR="00C84A80" w:rsidRPr="00C84A80">
        <w:rPr>
          <w:rFonts w:ascii="Times New Roman" w:eastAsia="Times New Roman" w:hAnsi="Times New Roman" w:cs="Times New Roman"/>
          <w:sz w:val="28"/>
          <w:szCs w:val="28"/>
          <w:lang w:eastAsia="ru-RU"/>
        </w:rPr>
        <w:t>.</w:t>
      </w:r>
      <w:hyperlink r:id="rId44" w:tgtFrame="_blank" w:history="1">
        <w:r w:rsidR="00C84A80" w:rsidRPr="00C84A80">
          <w:rPr>
            <w:rFonts w:ascii="Times New Roman" w:eastAsia="Times New Roman" w:hAnsi="Times New Roman" w:cs="Times New Roman"/>
            <w:sz w:val="28"/>
            <w:szCs w:val="28"/>
            <w:lang w:val="en-US" w:eastAsia="ru-RU"/>
          </w:rPr>
          <w:t>bankir</w:t>
        </w:r>
        <w:r w:rsidR="00C84A80" w:rsidRPr="00C84A80">
          <w:rPr>
            <w:rFonts w:ascii="Times New Roman" w:eastAsia="Times New Roman" w:hAnsi="Times New Roman" w:cs="Times New Roman"/>
            <w:sz w:val="28"/>
            <w:szCs w:val="28"/>
            <w:lang w:eastAsia="ru-RU"/>
          </w:rPr>
          <w:t>.</w:t>
        </w:r>
        <w:r w:rsidR="00C84A80" w:rsidRPr="00C84A80">
          <w:rPr>
            <w:rFonts w:ascii="Times New Roman" w:eastAsia="Times New Roman" w:hAnsi="Times New Roman" w:cs="Times New Roman"/>
            <w:sz w:val="28"/>
            <w:szCs w:val="28"/>
            <w:lang w:val="en-US" w:eastAsia="ru-RU"/>
          </w:rPr>
          <w:t>ru</w:t>
        </w:r>
      </w:hyperlink>
      <w:r w:rsidR="00C84A80" w:rsidRPr="00C84A80">
        <w:rPr>
          <w:rFonts w:ascii="Times New Roman" w:eastAsia="Times New Roman" w:hAnsi="Times New Roman" w:cs="Times New Roman"/>
          <w:sz w:val="28"/>
          <w:szCs w:val="28"/>
          <w:lang w:eastAsia="ru-RU"/>
        </w:rPr>
        <w:t>›</w:t>
      </w:r>
      <w:hyperlink r:id="rId45" w:tgtFrame="_blank" w:history="1">
        <w:r w:rsidR="00C84A80" w:rsidRPr="00C84A80">
          <w:rPr>
            <w:rFonts w:ascii="Times New Roman" w:eastAsia="Times New Roman" w:hAnsi="Times New Roman" w:cs="Times New Roman"/>
            <w:sz w:val="28"/>
            <w:szCs w:val="28"/>
            <w:lang w:eastAsia="ru-RU"/>
          </w:rPr>
          <w:t>Технологии</w:t>
        </w:r>
      </w:hyperlink>
      <w:r w:rsidR="00C84A80" w:rsidRPr="00C84A80">
        <w:rPr>
          <w:rFonts w:ascii="Times New Roman" w:eastAsia="Times New Roman" w:hAnsi="Times New Roman" w:cs="Times New Roman"/>
          <w:sz w:val="28"/>
          <w:szCs w:val="28"/>
          <w:lang w:eastAsia="ru-RU"/>
        </w:rPr>
        <w:t>›</w:t>
      </w:r>
      <w:hyperlink r:id="rId46" w:tgtFrame="_blank" w:history="1">
        <w:r w:rsidR="00C84A80" w:rsidRPr="00C84A80">
          <w:rPr>
            <w:rFonts w:ascii="Times New Roman" w:eastAsia="Times New Roman" w:hAnsi="Times New Roman" w:cs="Times New Roman"/>
            <w:sz w:val="28"/>
            <w:szCs w:val="28"/>
            <w:lang w:val="en-US" w:eastAsia="ru-RU"/>
          </w:rPr>
          <w:t>s</w:t>
        </w:r>
        <w:r w:rsidR="00C84A80" w:rsidRPr="00C84A80">
          <w:rPr>
            <w:rFonts w:ascii="Times New Roman" w:eastAsia="Times New Roman" w:hAnsi="Times New Roman" w:cs="Times New Roman"/>
            <w:sz w:val="28"/>
            <w:szCs w:val="28"/>
            <w:lang w:eastAsia="ru-RU"/>
          </w:rPr>
          <w:t>/</w:t>
        </w:r>
        <w:r w:rsidR="00C84A80" w:rsidRPr="00C84A80">
          <w:rPr>
            <w:rFonts w:ascii="Times New Roman" w:eastAsia="Times New Roman" w:hAnsi="Times New Roman" w:cs="Times New Roman"/>
            <w:sz w:val="28"/>
            <w:szCs w:val="28"/>
            <w:lang w:val="en-US" w:eastAsia="ru-RU"/>
          </w:rPr>
          <w:t>rabota</w:t>
        </w:r>
        <w:r w:rsidR="00C84A80" w:rsidRPr="00C84A80">
          <w:rPr>
            <w:rFonts w:ascii="Times New Roman" w:eastAsia="Times New Roman" w:hAnsi="Times New Roman" w:cs="Times New Roman"/>
            <w:sz w:val="28"/>
            <w:szCs w:val="28"/>
            <w:lang w:eastAsia="ru-RU"/>
          </w:rPr>
          <w:t>-</w:t>
        </w:r>
        <w:r w:rsidR="00C84A80" w:rsidRPr="00C84A80">
          <w:rPr>
            <w:rFonts w:ascii="Times New Roman" w:eastAsia="Times New Roman" w:hAnsi="Times New Roman" w:cs="Times New Roman"/>
            <w:bCs/>
            <w:sz w:val="28"/>
            <w:szCs w:val="28"/>
            <w:lang w:val="en-US" w:eastAsia="ru-RU"/>
          </w:rPr>
          <w:t>s</w:t>
        </w:r>
        <w:r w:rsidR="00C84A80" w:rsidRPr="00C84A80">
          <w:rPr>
            <w:rFonts w:ascii="Times New Roman" w:eastAsia="Times New Roman" w:hAnsi="Times New Roman" w:cs="Times New Roman"/>
            <w:sz w:val="28"/>
            <w:szCs w:val="28"/>
            <w:lang w:eastAsia="ru-RU"/>
          </w:rPr>
          <w:t>-</w:t>
        </w:r>
        <w:r w:rsidR="00C84A80" w:rsidRPr="00C84A80">
          <w:rPr>
            <w:rFonts w:ascii="Times New Roman" w:eastAsia="Times New Roman" w:hAnsi="Times New Roman" w:cs="Times New Roman"/>
            <w:bCs/>
            <w:sz w:val="28"/>
            <w:szCs w:val="28"/>
            <w:lang w:val="en-US" w:eastAsia="ru-RU"/>
          </w:rPr>
          <w:t>klientami</w:t>
        </w:r>
        <w:r w:rsidR="00C84A80" w:rsidRPr="00C84A80">
          <w:rPr>
            <w:rFonts w:ascii="Times New Roman" w:eastAsia="Times New Roman" w:hAnsi="Times New Roman" w:cs="Times New Roman"/>
            <w:sz w:val="28"/>
            <w:szCs w:val="28"/>
            <w:lang w:eastAsia="ru-RU"/>
          </w:rPr>
          <w:t>-</w:t>
        </w:r>
        <w:r w:rsidR="00C84A80" w:rsidRPr="00C84A80">
          <w:rPr>
            <w:rFonts w:ascii="Times New Roman" w:eastAsia="Times New Roman" w:hAnsi="Times New Roman" w:cs="Times New Roman"/>
            <w:sz w:val="28"/>
            <w:szCs w:val="28"/>
            <w:lang w:val="en-US" w:eastAsia="ru-RU"/>
          </w:rPr>
          <w:t>kak</w:t>
        </w:r>
        <w:r w:rsidR="00C84A80" w:rsidRPr="00C84A80">
          <w:rPr>
            <w:rFonts w:ascii="Times New Roman" w:eastAsia="Times New Roman" w:hAnsi="Times New Roman" w:cs="Times New Roman"/>
            <w:sz w:val="28"/>
            <w:szCs w:val="28"/>
            <w:lang w:eastAsia="ru-RU"/>
          </w:rPr>
          <w:t>…</w:t>
        </w:r>
      </w:hyperlink>
    </w:p>
    <w:p w:rsidR="007915A2" w:rsidRPr="007915A2" w:rsidRDefault="007915A2" w:rsidP="00727185">
      <w:pPr>
        <w:numPr>
          <w:ilvl w:val="0"/>
          <w:numId w:val="2"/>
        </w:numPr>
        <w:spacing w:after="0" w:line="360" w:lineRule="auto"/>
        <w:ind w:left="426"/>
        <w:contextualSpacing/>
        <w:jc w:val="both"/>
        <w:rPr>
          <w:rFonts w:ascii="Times New Roman" w:eastAsiaTheme="minorEastAsia" w:hAnsi="Times New Roman" w:cs="Times New Roman"/>
          <w:sz w:val="28"/>
          <w:szCs w:val="28"/>
          <w:lang w:bidi="en-US"/>
        </w:rPr>
      </w:pPr>
      <w:r w:rsidRPr="007915A2">
        <w:rPr>
          <w:rFonts w:ascii="Times New Roman" w:eastAsiaTheme="minorEastAsia" w:hAnsi="Times New Roman" w:cs="Times New Roman"/>
          <w:sz w:val="28"/>
          <w:szCs w:val="28"/>
          <w:lang w:bidi="en-US"/>
        </w:rPr>
        <w:t>Информационный портал. Электоронный ресурс.</w:t>
      </w:r>
    </w:p>
    <w:p w:rsidR="00C84A80" w:rsidRPr="00C84A80" w:rsidRDefault="007915A2" w:rsidP="007915A2">
      <w:pPr>
        <w:spacing w:after="0" w:line="360" w:lineRule="auto"/>
        <w:contextualSpacing/>
        <w:jc w:val="both"/>
        <w:rPr>
          <w:rFonts w:ascii="Times New Roman" w:eastAsiaTheme="minorEastAsia" w:hAnsi="Times New Roman" w:cs="Times New Roman"/>
          <w:sz w:val="28"/>
          <w:szCs w:val="28"/>
          <w:lang w:bidi="en-US"/>
        </w:rPr>
      </w:pPr>
      <w:r w:rsidRPr="007915A2">
        <w:rPr>
          <w:rFonts w:ascii="Times New Roman" w:eastAsiaTheme="minorEastAsia" w:hAnsi="Times New Roman" w:cs="Times New Roman"/>
          <w:sz w:val="28"/>
          <w:szCs w:val="28"/>
          <w:lang w:bidi="en-US"/>
        </w:rPr>
        <w:t xml:space="preserve"> Режим доступа:</w:t>
      </w:r>
      <w:hyperlink r:id="rId47" w:history="1">
        <w:r w:rsidR="00C84A80" w:rsidRPr="00C84A80">
          <w:rPr>
            <w:rFonts w:ascii="Times New Roman" w:eastAsiaTheme="minorEastAsia" w:hAnsi="Times New Roman" w:cs="Times New Roman"/>
            <w:sz w:val="28"/>
            <w:szCs w:val="28"/>
            <w:lang w:val="en-US" w:bidi="en-US"/>
          </w:rPr>
          <w:t>http</w:t>
        </w:r>
        <w:r w:rsidR="00C84A80" w:rsidRPr="00C84A80">
          <w:rPr>
            <w:rFonts w:ascii="Times New Roman" w:eastAsiaTheme="minorEastAsia" w:hAnsi="Times New Roman" w:cs="Times New Roman"/>
            <w:sz w:val="28"/>
            <w:szCs w:val="28"/>
            <w:lang w:bidi="en-US"/>
          </w:rPr>
          <w:t>://</w:t>
        </w:r>
        <w:r w:rsidR="00C84A80" w:rsidRPr="00C84A80">
          <w:rPr>
            <w:rFonts w:ascii="Times New Roman" w:eastAsiaTheme="minorEastAsia" w:hAnsi="Times New Roman" w:cs="Times New Roman"/>
            <w:sz w:val="28"/>
            <w:szCs w:val="28"/>
            <w:lang w:val="en-US" w:bidi="en-US"/>
          </w:rPr>
          <w:t>www</w:t>
        </w:r>
        <w:r w:rsidR="00C84A80" w:rsidRPr="00C84A80">
          <w:rPr>
            <w:rFonts w:ascii="Times New Roman" w:eastAsiaTheme="minorEastAsia" w:hAnsi="Times New Roman" w:cs="Times New Roman"/>
            <w:sz w:val="28"/>
            <w:szCs w:val="28"/>
            <w:lang w:bidi="en-US"/>
          </w:rPr>
          <w:t>.</w:t>
        </w:r>
        <w:r w:rsidR="00C84A80" w:rsidRPr="00C84A80">
          <w:rPr>
            <w:rFonts w:ascii="Times New Roman" w:eastAsiaTheme="minorEastAsia" w:hAnsi="Times New Roman" w:cs="Times New Roman"/>
            <w:sz w:val="28"/>
            <w:szCs w:val="28"/>
            <w:lang w:val="en-US" w:bidi="en-US"/>
          </w:rPr>
          <w:t>kredits</w:t>
        </w:r>
        <w:r w:rsidR="00C84A80" w:rsidRPr="00C84A80">
          <w:rPr>
            <w:rFonts w:ascii="Times New Roman" w:eastAsiaTheme="minorEastAsia" w:hAnsi="Times New Roman" w:cs="Times New Roman"/>
            <w:sz w:val="28"/>
            <w:szCs w:val="28"/>
            <w:lang w:bidi="en-US"/>
          </w:rPr>
          <w:t>.</w:t>
        </w:r>
        <w:r w:rsidR="00C84A80" w:rsidRPr="00C84A80">
          <w:rPr>
            <w:rFonts w:ascii="Times New Roman" w:eastAsiaTheme="minorEastAsia" w:hAnsi="Times New Roman" w:cs="Times New Roman"/>
            <w:sz w:val="28"/>
            <w:szCs w:val="28"/>
            <w:lang w:val="en-US" w:bidi="en-US"/>
          </w:rPr>
          <w:t>ru</w:t>
        </w:r>
      </w:hyperlink>
      <w:r w:rsidR="00C84A80" w:rsidRPr="00C84A80">
        <w:rPr>
          <w:rFonts w:ascii="Times New Roman" w:eastAsiaTheme="minorEastAsia" w:hAnsi="Times New Roman" w:cs="Times New Roman"/>
          <w:sz w:val="28"/>
          <w:szCs w:val="28"/>
          <w:lang w:bidi="en-US"/>
        </w:rPr>
        <w:t xml:space="preserve"> </w:t>
      </w:r>
    </w:p>
    <w:p w:rsidR="007915A2" w:rsidRPr="007915A2" w:rsidRDefault="007915A2" w:rsidP="00C84A80">
      <w:pPr>
        <w:numPr>
          <w:ilvl w:val="0"/>
          <w:numId w:val="2"/>
        </w:numPr>
        <w:spacing w:after="0" w:line="360" w:lineRule="auto"/>
        <w:ind w:left="426"/>
        <w:contextualSpacing/>
        <w:jc w:val="both"/>
        <w:rPr>
          <w:rFonts w:ascii="Times New Roman" w:eastAsiaTheme="minorEastAsia" w:hAnsi="Times New Roman" w:cs="Times New Roman"/>
          <w:sz w:val="28"/>
          <w:szCs w:val="28"/>
          <w:lang w:bidi="en-US"/>
        </w:rPr>
      </w:pPr>
      <w:r w:rsidRPr="007915A2">
        <w:t xml:space="preserve"> </w:t>
      </w:r>
      <w:r w:rsidRPr="007915A2">
        <w:rPr>
          <w:rFonts w:ascii="Times New Roman" w:hAnsi="Times New Roman" w:cs="Times New Roman"/>
          <w:sz w:val="28"/>
          <w:szCs w:val="28"/>
        </w:rPr>
        <w:t xml:space="preserve">Официальный сайт электронного журнала эксперт. Режим доступа: </w:t>
      </w:r>
      <w:hyperlink r:id="rId48" w:tgtFrame="_blank" w:history="1">
        <w:r w:rsidRPr="007915A2">
          <w:rPr>
            <w:rFonts w:ascii="Times New Roman" w:hAnsi="Times New Roman" w:cs="Times New Roman"/>
            <w:sz w:val="28"/>
            <w:szCs w:val="28"/>
          </w:rPr>
          <w:t>http://www.expert.ru</w:t>
        </w:r>
      </w:hyperlink>
      <w:r w:rsidRPr="007915A2">
        <w:t xml:space="preserve"> </w:t>
      </w:r>
    </w:p>
    <w:p w:rsidR="007915A2" w:rsidRPr="007915A2" w:rsidRDefault="007915A2" w:rsidP="007915A2">
      <w:pPr>
        <w:numPr>
          <w:ilvl w:val="0"/>
          <w:numId w:val="2"/>
        </w:numPr>
        <w:spacing w:after="0" w:line="360" w:lineRule="auto"/>
        <w:ind w:left="426"/>
        <w:contextualSpacing/>
        <w:jc w:val="both"/>
        <w:rPr>
          <w:rFonts w:ascii="Times New Roman" w:eastAsiaTheme="minorEastAsia" w:hAnsi="Times New Roman" w:cs="Times New Roman"/>
          <w:sz w:val="28"/>
          <w:szCs w:val="28"/>
          <w:lang w:bidi="en-US"/>
        </w:rPr>
      </w:pPr>
      <w:r w:rsidRPr="007915A2">
        <w:rPr>
          <w:rFonts w:ascii="Times New Roman" w:eastAsiaTheme="minorEastAsia" w:hAnsi="Times New Roman" w:cs="Times New Roman"/>
          <w:sz w:val="28"/>
          <w:szCs w:val="28"/>
          <w:lang w:bidi="en-US"/>
        </w:rPr>
        <w:t>Информационный портал. Электоронный ресурс.</w:t>
      </w:r>
    </w:p>
    <w:p w:rsidR="00C84A80" w:rsidRPr="00C84A80" w:rsidRDefault="007915A2" w:rsidP="007915A2">
      <w:pPr>
        <w:spacing w:after="0" w:line="360" w:lineRule="auto"/>
        <w:ind w:left="142"/>
        <w:contextualSpacing/>
        <w:jc w:val="both"/>
        <w:rPr>
          <w:rFonts w:ascii="Times New Roman" w:eastAsiaTheme="minorEastAsia" w:hAnsi="Times New Roman" w:cs="Times New Roman"/>
          <w:sz w:val="28"/>
          <w:szCs w:val="28"/>
          <w:lang w:bidi="en-US"/>
        </w:rPr>
      </w:pPr>
      <w:r w:rsidRPr="007915A2">
        <w:rPr>
          <w:rFonts w:ascii="Times New Roman" w:eastAsiaTheme="minorEastAsia" w:hAnsi="Times New Roman" w:cs="Times New Roman"/>
          <w:sz w:val="28"/>
          <w:szCs w:val="28"/>
          <w:lang w:bidi="en-US"/>
        </w:rPr>
        <w:t>Режим доступа:</w:t>
      </w:r>
      <w:r>
        <w:rPr>
          <w:rFonts w:ascii="Times New Roman" w:eastAsiaTheme="minorEastAsia" w:hAnsi="Times New Roman" w:cs="Times New Roman"/>
          <w:sz w:val="28"/>
          <w:szCs w:val="28"/>
          <w:lang w:bidi="en-US"/>
        </w:rPr>
        <w:t xml:space="preserve"> </w:t>
      </w:r>
      <w:r w:rsidR="00C84A80" w:rsidRPr="00C84A80">
        <w:rPr>
          <w:rFonts w:ascii="Times New Roman" w:eastAsiaTheme="minorEastAsia" w:hAnsi="Times New Roman" w:cs="Times New Roman"/>
          <w:sz w:val="28"/>
          <w:szCs w:val="28"/>
          <w:lang w:bidi="en-US"/>
        </w:rPr>
        <w:t>http://www.banki.ru/operations/eds/</w:t>
      </w:r>
    </w:p>
    <w:p w:rsidR="007915A2" w:rsidRPr="007915A2" w:rsidRDefault="007915A2" w:rsidP="00C84A80">
      <w:pPr>
        <w:numPr>
          <w:ilvl w:val="0"/>
          <w:numId w:val="2"/>
        </w:numPr>
        <w:spacing w:after="0" w:line="360" w:lineRule="auto"/>
        <w:ind w:left="426"/>
        <w:contextualSpacing/>
        <w:jc w:val="both"/>
        <w:rPr>
          <w:rFonts w:ascii="Times New Roman" w:eastAsiaTheme="minorEastAsia" w:hAnsi="Times New Roman" w:cs="Times New Roman"/>
          <w:sz w:val="28"/>
          <w:szCs w:val="28"/>
          <w:lang w:bidi="en-US"/>
        </w:rPr>
      </w:pPr>
      <w:r w:rsidRPr="007915A2">
        <w:rPr>
          <w:rFonts w:ascii="Times New Roman" w:hAnsi="Times New Roman" w:cs="Times New Roman"/>
          <w:sz w:val="28"/>
          <w:szCs w:val="28"/>
        </w:rPr>
        <w:t xml:space="preserve">Развитие интернет-банкинга в современном мире. Электронный ресурс. Режим доступа: </w:t>
      </w:r>
      <w:hyperlink r:id="rId49" w:tgtFrame="_blank" w:history="1">
        <w:r w:rsidRPr="007915A2">
          <w:rPr>
            <w:rFonts w:ascii="Times New Roman" w:hAnsi="Times New Roman" w:cs="Times New Roman"/>
            <w:sz w:val="28"/>
            <w:szCs w:val="28"/>
          </w:rPr>
          <w:t>http://www.lomonosov-msu.ru</w:t>
        </w:r>
      </w:hyperlink>
      <w:r w:rsidRPr="007915A2">
        <w:rPr>
          <w:rFonts w:ascii="Times New Roman" w:hAnsi="Times New Roman" w:cs="Times New Roman"/>
          <w:sz w:val="28"/>
          <w:szCs w:val="28"/>
        </w:rPr>
        <w:t xml:space="preserve">  </w:t>
      </w:r>
      <w:r w:rsidRPr="007915A2">
        <w:t xml:space="preserve">  </w:t>
      </w:r>
    </w:p>
    <w:p w:rsidR="00C84A80" w:rsidRPr="007915A2" w:rsidRDefault="007915A2" w:rsidP="00C84A80">
      <w:pPr>
        <w:numPr>
          <w:ilvl w:val="0"/>
          <w:numId w:val="2"/>
        </w:numPr>
        <w:spacing w:after="0" w:line="360" w:lineRule="auto"/>
        <w:ind w:left="426"/>
        <w:contextualSpacing/>
        <w:jc w:val="both"/>
        <w:rPr>
          <w:rFonts w:ascii="Times New Roman" w:hAnsi="Times New Roman" w:cs="Times New Roman"/>
          <w:sz w:val="28"/>
          <w:szCs w:val="28"/>
        </w:rPr>
      </w:pPr>
      <w:r w:rsidRPr="007915A2">
        <w:rPr>
          <w:rFonts w:ascii="Times New Roman" w:hAnsi="Times New Roman" w:cs="Times New Roman"/>
          <w:sz w:val="28"/>
          <w:szCs w:val="28"/>
        </w:rPr>
        <w:t xml:space="preserve">Официальный сайт </w:t>
      </w:r>
      <w:r w:rsidRPr="007915A2">
        <w:rPr>
          <w:rFonts w:ascii="Times New Roman" w:hAnsi="Times New Roman" w:cs="Times New Roman"/>
          <w:sz w:val="28"/>
          <w:szCs w:val="28"/>
          <w:lang w:val="en-US"/>
        </w:rPr>
        <w:t>RTS</w:t>
      </w:r>
      <w:r w:rsidRPr="007915A2">
        <w:rPr>
          <w:rFonts w:ascii="Times New Roman" w:hAnsi="Times New Roman" w:cs="Times New Roman"/>
          <w:sz w:val="28"/>
          <w:szCs w:val="28"/>
        </w:rPr>
        <w:t xml:space="preserve"> - биржа</w:t>
      </w:r>
      <w:r>
        <w:rPr>
          <w:rFonts w:ascii="Times New Roman" w:hAnsi="Times New Roman" w:cs="Times New Roman"/>
          <w:sz w:val="28"/>
          <w:szCs w:val="28"/>
        </w:rPr>
        <w:t>. Электронный ресурс.Точка доступа</w:t>
      </w:r>
      <w:r>
        <w:t xml:space="preserve"> </w:t>
      </w:r>
      <w:hyperlink r:id="rId50" w:history="1">
        <w:r w:rsidR="00C84A80" w:rsidRPr="007915A2">
          <w:rPr>
            <w:rFonts w:ascii="Times New Roman" w:eastAsiaTheme="minorEastAsia" w:hAnsi="Times New Roman" w:cs="Times New Roman"/>
            <w:sz w:val="28"/>
            <w:szCs w:val="28"/>
            <w:lang w:bidi="en-US"/>
          </w:rPr>
          <w:t>http://www.rts.ru/ru/listing/emidocs.html?iss=ROSB</w:t>
        </w:r>
      </w:hyperlink>
    </w:p>
    <w:p w:rsidR="007915A2" w:rsidRDefault="007915A2" w:rsidP="007915A2">
      <w:pPr>
        <w:numPr>
          <w:ilvl w:val="0"/>
          <w:numId w:val="2"/>
        </w:numPr>
        <w:spacing w:after="0" w:line="360" w:lineRule="auto"/>
        <w:ind w:left="426"/>
        <w:contextualSpacing/>
        <w:jc w:val="both"/>
        <w:rPr>
          <w:rFonts w:ascii="Times New Roman" w:hAnsi="Times New Roman" w:cs="Times New Roman"/>
          <w:sz w:val="28"/>
          <w:szCs w:val="28"/>
          <w:lang w:bidi="en-US"/>
        </w:rPr>
      </w:pPr>
      <w:r>
        <w:t xml:space="preserve"> </w:t>
      </w:r>
      <w:r w:rsidRPr="007915A2">
        <w:rPr>
          <w:rFonts w:ascii="Times New Roman" w:hAnsi="Times New Roman" w:cs="Times New Roman"/>
          <w:sz w:val="28"/>
          <w:szCs w:val="28"/>
        </w:rPr>
        <w:t>Информационный портал.</w:t>
      </w:r>
      <w:r>
        <w:rPr>
          <w:rFonts w:ascii="Times New Roman" w:hAnsi="Times New Roman" w:cs="Times New Roman"/>
          <w:sz w:val="28"/>
          <w:szCs w:val="28"/>
        </w:rPr>
        <w:t xml:space="preserve"> </w:t>
      </w:r>
      <w:r w:rsidRPr="007915A2">
        <w:rPr>
          <w:rFonts w:ascii="Times New Roman" w:hAnsi="Times New Roman" w:cs="Times New Roman"/>
          <w:sz w:val="28"/>
          <w:szCs w:val="28"/>
        </w:rPr>
        <w:t>Электоронный ресурс.</w:t>
      </w:r>
    </w:p>
    <w:p w:rsidR="00C84A80" w:rsidRPr="007915A2" w:rsidRDefault="007915A2" w:rsidP="007915A2">
      <w:pPr>
        <w:spacing w:after="0" w:line="360" w:lineRule="auto"/>
        <w:ind w:left="426"/>
        <w:contextualSpacing/>
        <w:jc w:val="both"/>
        <w:rPr>
          <w:rFonts w:ascii="Times New Roman" w:hAnsi="Times New Roman" w:cs="Times New Roman"/>
          <w:sz w:val="28"/>
          <w:szCs w:val="28"/>
          <w:lang w:bidi="en-US"/>
        </w:rPr>
      </w:pPr>
      <w:r w:rsidRPr="007915A2">
        <w:rPr>
          <w:rFonts w:ascii="Times New Roman" w:hAnsi="Times New Roman" w:cs="Times New Roman"/>
          <w:sz w:val="28"/>
          <w:szCs w:val="28"/>
        </w:rPr>
        <w:t xml:space="preserve"> Режим доступа:</w:t>
      </w:r>
      <w:hyperlink r:id="rId51" w:history="1">
        <w:r w:rsidR="00C84A80" w:rsidRPr="007915A2">
          <w:rPr>
            <w:rFonts w:ascii="Times New Roman" w:hAnsi="Times New Roman" w:cs="Times New Roman"/>
            <w:sz w:val="28"/>
            <w:szCs w:val="28"/>
          </w:rPr>
          <w:t>http://www.banki.ru/banks/bank/royalcreditbank/</w:t>
        </w:r>
      </w:hyperlink>
    </w:p>
    <w:p w:rsidR="00C84A80" w:rsidRPr="007915A2" w:rsidRDefault="007915A2" w:rsidP="007915A2">
      <w:pPr>
        <w:numPr>
          <w:ilvl w:val="0"/>
          <w:numId w:val="2"/>
        </w:numPr>
        <w:spacing w:after="0" w:line="360" w:lineRule="auto"/>
        <w:ind w:left="426"/>
        <w:contextualSpacing/>
        <w:jc w:val="both"/>
        <w:rPr>
          <w:rFonts w:ascii="Times New Roman" w:hAnsi="Times New Roman" w:cs="Times New Roman"/>
          <w:sz w:val="28"/>
          <w:szCs w:val="28"/>
          <w:lang w:bidi="en-US"/>
        </w:rPr>
      </w:pPr>
      <w:r w:rsidRPr="007915A2">
        <w:rPr>
          <w:rFonts w:ascii="Times New Roman" w:hAnsi="Times New Roman" w:cs="Times New Roman"/>
          <w:sz w:val="28"/>
          <w:szCs w:val="28"/>
        </w:rPr>
        <w:t xml:space="preserve">Информационный портал. Кредитование в России. Электронный ресурс. Режим доступа: </w:t>
      </w:r>
      <w:hyperlink r:id="rId52" w:history="1">
        <w:r w:rsidRPr="007915A2">
          <w:rPr>
            <w:rStyle w:val="ac"/>
            <w:rFonts w:ascii="Times New Roman" w:hAnsi="Times New Roman" w:cs="Times New Roman"/>
            <w:color w:val="auto"/>
            <w:sz w:val="28"/>
            <w:szCs w:val="28"/>
            <w:u w:val="none"/>
          </w:rPr>
          <w:t>http://www.kreditovik.ru/region.php?id=16404</w:t>
        </w:r>
      </w:hyperlink>
    </w:p>
    <w:p w:rsidR="00C84A80" w:rsidRDefault="00C84A80" w:rsidP="00D00641">
      <w:pPr>
        <w:spacing w:after="0" w:line="360" w:lineRule="auto"/>
        <w:ind w:firstLine="709"/>
        <w:jc w:val="both"/>
        <w:rPr>
          <w:rFonts w:ascii="Times New Roman" w:hAnsi="Times New Roman" w:cs="Times New Roman"/>
          <w:sz w:val="28"/>
          <w:szCs w:val="28"/>
        </w:rPr>
      </w:pPr>
    </w:p>
    <w:p w:rsidR="00C84A80" w:rsidRDefault="00C84A80" w:rsidP="00D00641">
      <w:pPr>
        <w:spacing w:after="0" w:line="360" w:lineRule="auto"/>
        <w:ind w:firstLine="709"/>
        <w:jc w:val="both"/>
        <w:rPr>
          <w:rFonts w:ascii="Times New Roman" w:hAnsi="Times New Roman" w:cs="Times New Roman"/>
          <w:sz w:val="28"/>
          <w:szCs w:val="28"/>
        </w:rPr>
      </w:pPr>
    </w:p>
    <w:p w:rsidR="00C91F1B" w:rsidRDefault="00C91F1B" w:rsidP="00D00641">
      <w:pPr>
        <w:spacing w:after="0" w:line="360" w:lineRule="auto"/>
        <w:ind w:firstLine="709"/>
        <w:jc w:val="both"/>
        <w:rPr>
          <w:rFonts w:ascii="Times New Roman" w:hAnsi="Times New Roman" w:cs="Times New Roman"/>
          <w:sz w:val="28"/>
          <w:szCs w:val="28"/>
        </w:rPr>
      </w:pPr>
    </w:p>
    <w:p w:rsidR="00D00641" w:rsidRDefault="00D00641" w:rsidP="00D00641">
      <w:pPr>
        <w:spacing w:after="0" w:line="360" w:lineRule="auto"/>
        <w:ind w:firstLine="709"/>
        <w:jc w:val="both"/>
        <w:rPr>
          <w:rFonts w:ascii="Times New Roman" w:hAnsi="Times New Roman" w:cs="Times New Roman"/>
          <w:sz w:val="28"/>
          <w:szCs w:val="28"/>
        </w:rPr>
      </w:pPr>
    </w:p>
    <w:p w:rsidR="00D00641" w:rsidRDefault="00D00641" w:rsidP="00D00641">
      <w:pPr>
        <w:spacing w:before="100" w:beforeAutospacing="1" w:after="100" w:afterAutospacing="1" w:line="240" w:lineRule="auto"/>
        <w:rPr>
          <w:rFonts w:ascii="Times New Roman" w:eastAsia="Times New Roman" w:hAnsi="Times New Roman" w:cs="Times New Roman"/>
          <w:b/>
          <w:bCs/>
          <w:sz w:val="24"/>
          <w:szCs w:val="24"/>
          <w:lang w:eastAsia="ru-RU"/>
        </w:rPr>
        <w:sectPr w:rsidR="00D00641" w:rsidSect="00126B75">
          <w:footerReference w:type="default" r:id="rId53"/>
          <w:pgSz w:w="11906" w:h="16838"/>
          <w:pgMar w:top="1134" w:right="850" w:bottom="1134" w:left="1701" w:header="708" w:footer="708" w:gutter="0"/>
          <w:pgNumType w:start="2"/>
          <w:cols w:space="708"/>
          <w:titlePg/>
          <w:docGrid w:linePitch="360"/>
        </w:sectPr>
      </w:pPr>
    </w:p>
    <w:p w:rsidR="00D00641" w:rsidRPr="00F6489B" w:rsidRDefault="00D00641" w:rsidP="00F6489B">
      <w:pPr>
        <w:spacing w:before="100" w:beforeAutospacing="1" w:after="100" w:afterAutospacing="1" w:line="240" w:lineRule="auto"/>
        <w:rPr>
          <w:rFonts w:ascii="Times New Roman" w:eastAsia="Times New Roman" w:hAnsi="Times New Roman" w:cs="Times New Roman"/>
          <w:sz w:val="24"/>
          <w:szCs w:val="24"/>
          <w:lang w:eastAsia="ru-RU"/>
        </w:rPr>
        <w:sectPr w:rsidR="00D00641" w:rsidRPr="00F6489B" w:rsidSect="00D00641">
          <w:pgSz w:w="16838" w:h="11906" w:orient="landscape"/>
          <w:pgMar w:top="851" w:right="1134" w:bottom="1701" w:left="1134" w:header="709" w:footer="709" w:gutter="0"/>
          <w:pgNumType w:start="2"/>
          <w:cols w:space="708"/>
          <w:docGrid w:linePitch="360"/>
        </w:sectPr>
      </w:pPr>
      <w:r>
        <w:rPr>
          <w:rFonts w:ascii="Times New Roman" w:eastAsia="Times New Roman" w:hAnsi="Times New Roman" w:cs="Times New Roman"/>
          <w:b/>
          <w:bCs/>
          <w:sz w:val="24"/>
          <w:szCs w:val="24"/>
          <w:lang w:eastAsia="ru-RU"/>
        </w:rPr>
        <w:lastRenderedPageBreak/>
        <w:t>С</w:t>
      </w:r>
      <w:r w:rsidRPr="00D00641">
        <w:rPr>
          <w:rFonts w:ascii="Times New Roman" w:eastAsia="Times New Roman" w:hAnsi="Times New Roman" w:cs="Times New Roman"/>
          <w:b/>
          <w:bCs/>
          <w:sz w:val="24"/>
          <w:szCs w:val="24"/>
          <w:lang w:eastAsia="ru-RU"/>
        </w:rPr>
        <w:t>хема взаимосвязей ЗАО МКБ «Москомприватбанк» и лиц, оказывающих существенное (прямое или косвенное) влияние на решения, принимаемые органами управления ЗАО МКБ «Москомприватбанк» по состоянию на 12.11.2012 г.</w:t>
      </w:r>
      <w:r w:rsidRPr="00D00641">
        <w:rPr>
          <w:rFonts w:ascii="Times New Roman" w:eastAsia="Times New Roman" w:hAnsi="Times New Roman" w:cs="Times New Roman"/>
          <w:noProof/>
          <w:sz w:val="24"/>
          <w:szCs w:val="24"/>
          <w:lang w:eastAsia="ru-RU"/>
        </w:rPr>
        <w:drawing>
          <wp:inline distT="0" distB="0" distL="0" distR="0">
            <wp:extent cx="9415549" cy="5257800"/>
            <wp:effectExtent l="0" t="0" r="0" b="0"/>
            <wp:docPr id="1" name="Рисунок 1" descr="http://www.privatbank.ru/im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ivatbank.ru/img/3.png"/>
                    <pic:cNvPicPr>
                      <a:picLocks noChangeAspect="1" noChangeArrowheads="1"/>
                    </pic:cNvPicPr>
                  </pic:nvPicPr>
                  <pic:blipFill>
                    <a:blip r:embed="rId54"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55">
                              <a14:imgEffect>
                                <a14:sharpenSoften amount="5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17321" cy="5258790"/>
                    </a:xfrm>
                    <a:prstGeom prst="rect">
                      <a:avLst/>
                    </a:prstGeom>
                    <a:noFill/>
                    <a:ln>
                      <a:noFill/>
                    </a:ln>
                  </pic:spPr>
                </pic:pic>
              </a:graphicData>
            </a:graphic>
          </wp:inline>
        </w:drawing>
      </w:r>
    </w:p>
    <w:p w:rsidR="00B07A4D" w:rsidRDefault="00B07A4D" w:rsidP="00F6489B">
      <w:pPr>
        <w:spacing w:after="0" w:line="360" w:lineRule="auto"/>
        <w:jc w:val="both"/>
      </w:pPr>
    </w:p>
    <w:sectPr w:rsidR="00B07A4D" w:rsidSect="00D0064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A8D" w:rsidRDefault="00784A8D" w:rsidP="00D00641">
      <w:pPr>
        <w:spacing w:after="0" w:line="240" w:lineRule="auto"/>
      </w:pPr>
      <w:r>
        <w:separator/>
      </w:r>
    </w:p>
  </w:endnote>
  <w:endnote w:type="continuationSeparator" w:id="0">
    <w:p w:rsidR="00784A8D" w:rsidRDefault="00784A8D" w:rsidP="00D006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6496883"/>
      <w:docPartObj>
        <w:docPartGallery w:val="Page Numbers (Bottom of Page)"/>
        <w:docPartUnique/>
      </w:docPartObj>
    </w:sdtPr>
    <w:sdtContent>
      <w:p w:rsidR="00F6489B" w:rsidRDefault="00F6489B">
        <w:pPr>
          <w:pStyle w:val="a5"/>
          <w:jc w:val="center"/>
        </w:pPr>
        <w:fldSimple w:instr="PAGE   \* MERGEFORMAT">
          <w:r w:rsidR="00413AEB">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A8D" w:rsidRDefault="00784A8D" w:rsidP="00D00641">
      <w:pPr>
        <w:spacing w:after="0" w:line="240" w:lineRule="auto"/>
      </w:pPr>
      <w:r>
        <w:separator/>
      </w:r>
    </w:p>
  </w:footnote>
  <w:footnote w:type="continuationSeparator" w:id="0">
    <w:p w:rsidR="00784A8D" w:rsidRDefault="00784A8D" w:rsidP="00D00641">
      <w:pPr>
        <w:spacing w:after="0" w:line="240" w:lineRule="auto"/>
      </w:pPr>
      <w:r>
        <w:continuationSeparator/>
      </w:r>
    </w:p>
  </w:footnote>
  <w:footnote w:id="1">
    <w:p w:rsidR="000033ED" w:rsidRPr="000033ED" w:rsidRDefault="000033ED" w:rsidP="000033ED">
      <w:pPr>
        <w:widowControl w:val="0"/>
        <w:autoSpaceDE w:val="0"/>
        <w:autoSpaceDN w:val="0"/>
        <w:adjustRightInd w:val="0"/>
        <w:spacing w:after="0" w:line="360" w:lineRule="auto"/>
        <w:ind w:right="284"/>
        <w:contextualSpacing/>
        <w:jc w:val="both"/>
        <w:rPr>
          <w:rFonts w:ascii="Times New Roman" w:eastAsia="Times New Roman" w:hAnsi="Times New Roman" w:cs="Times New Roman"/>
          <w:sz w:val="18"/>
          <w:szCs w:val="18"/>
          <w:lang w:eastAsia="ru-RU"/>
        </w:rPr>
      </w:pPr>
      <w:r>
        <w:rPr>
          <w:rStyle w:val="af0"/>
        </w:rPr>
        <w:footnoteRef/>
      </w:r>
      <w:r>
        <w:t xml:space="preserve"> </w:t>
      </w:r>
      <w:r w:rsidRPr="000033ED">
        <w:rPr>
          <w:rFonts w:ascii="Times New Roman" w:eastAsia="Times New Roman" w:hAnsi="Times New Roman" w:cs="Times New Roman"/>
          <w:spacing w:val="-1"/>
          <w:sz w:val="18"/>
          <w:szCs w:val="18"/>
          <w:lang w:eastAsia="ru-RU"/>
        </w:rPr>
        <w:t>Деньги, кредит, банки: Конспект лекций. Малахова Н.Г. –П.: ПРИОР,2009</w:t>
      </w:r>
    </w:p>
  </w:footnote>
  <w:footnote w:id="2">
    <w:p w:rsidR="000033ED" w:rsidRDefault="000033ED">
      <w:pPr>
        <w:pStyle w:val="ae"/>
      </w:pPr>
      <w:r>
        <w:rPr>
          <w:rStyle w:val="af0"/>
        </w:rPr>
        <w:footnoteRef/>
      </w:r>
      <w:r>
        <w:t xml:space="preserve"> </w:t>
      </w:r>
      <w:r w:rsidRPr="000033ED">
        <w:rPr>
          <w:sz w:val="18"/>
          <w:szCs w:val="18"/>
        </w:rPr>
        <w:t>Гражданский Кодекс Российской Федерации</w:t>
      </w:r>
    </w:p>
  </w:footnote>
  <w:footnote w:id="3">
    <w:p w:rsidR="00F6489B" w:rsidRPr="00F6489B" w:rsidRDefault="00F6489B">
      <w:pPr>
        <w:pStyle w:val="ae"/>
        <w:rPr>
          <w:sz w:val="18"/>
          <w:szCs w:val="18"/>
        </w:rPr>
      </w:pPr>
      <w:r>
        <w:rPr>
          <w:rStyle w:val="af0"/>
        </w:rPr>
        <w:footnoteRef/>
      </w:r>
      <w:r>
        <w:t xml:space="preserve"> </w:t>
      </w:r>
      <w:r w:rsidRPr="00F6489B">
        <w:rPr>
          <w:rFonts w:eastAsia="Times New Roman"/>
          <w:sz w:val="18"/>
          <w:szCs w:val="18"/>
        </w:rPr>
        <w:t>Федеральный закон «О банках и банковской деятельности»</w:t>
      </w:r>
    </w:p>
  </w:footnote>
  <w:footnote w:id="4">
    <w:p w:rsidR="000033ED" w:rsidRDefault="000033ED">
      <w:pPr>
        <w:pStyle w:val="ae"/>
      </w:pPr>
      <w:r>
        <w:rPr>
          <w:rStyle w:val="af0"/>
        </w:rPr>
        <w:footnoteRef/>
      </w:r>
      <w:r>
        <w:t xml:space="preserve"> </w:t>
      </w:r>
      <w:r w:rsidRPr="000033ED">
        <w:rPr>
          <w:rFonts w:eastAsia="Times New Roman"/>
          <w:sz w:val="18"/>
          <w:szCs w:val="18"/>
        </w:rPr>
        <w:t>Положение ЦБ РФ «О порядке предоставления (размещения) кредитными организациями денежных средств и их возврата (погашения)»</w:t>
      </w:r>
    </w:p>
  </w:footnote>
  <w:footnote w:id="5">
    <w:p w:rsidR="00F6489B" w:rsidRDefault="00F6489B">
      <w:pPr>
        <w:pStyle w:val="ae"/>
      </w:pPr>
      <w:r>
        <w:rPr>
          <w:rStyle w:val="af0"/>
        </w:rPr>
        <w:footnoteRef/>
      </w:r>
      <w:r>
        <w:t xml:space="preserve"> </w:t>
      </w:r>
      <w:r w:rsidRPr="00F6489B">
        <w:rPr>
          <w:rFonts w:eastAsia="Times New Roman"/>
          <w:sz w:val="18"/>
          <w:szCs w:val="18"/>
        </w:rPr>
        <w:t>Положение ЦБ РФ «О порядке начисления процентов по операциям, связанным с привлечением и размещением денежных средств банками, отражения указанных операций по счетам бухгалтерского учета»</w:t>
      </w:r>
    </w:p>
  </w:footnote>
  <w:footnote w:id="6">
    <w:p w:rsidR="000033ED" w:rsidRPr="00C84A80" w:rsidRDefault="000033ED" w:rsidP="000033ED">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0033ED">
        <w:rPr>
          <w:rFonts w:ascii="Times New Roman" w:eastAsia="Times New Roman" w:hAnsi="Times New Roman" w:cs="Times New Roman"/>
          <w:sz w:val="18"/>
          <w:szCs w:val="18"/>
          <w:lang w:eastAsia="ru-RU"/>
        </w:rPr>
        <w:t>Банки и банковские операции: Учебник /Под ред. проф. Жукова Е.Ф., М: ЮНИТИ, 2010</w:t>
      </w:r>
    </w:p>
    <w:p w:rsidR="000033ED" w:rsidRDefault="000033ED">
      <w:pPr>
        <w:pStyle w:val="ae"/>
      </w:pPr>
    </w:p>
  </w:footnote>
  <w:footnote w:id="7">
    <w:p w:rsidR="00F6489B" w:rsidRDefault="00F6489B" w:rsidP="00C84A80">
      <w:pPr>
        <w:pStyle w:val="ae"/>
      </w:pPr>
      <w:r>
        <w:rPr>
          <w:rStyle w:val="af0"/>
        </w:rPr>
        <w:footnoteRef/>
      </w:r>
      <w:r>
        <w:t xml:space="preserve"> </w:t>
      </w:r>
      <w:hyperlink r:id="rId1" w:history="1">
        <w:r w:rsidRPr="00C15C14">
          <w:rPr>
            <w:rFonts w:eastAsia="Times New Roman"/>
          </w:rPr>
          <w:t>www.abik.ru/asp/autoref_Ogureeva.pdf</w:t>
        </w:r>
      </w:hyperlink>
    </w:p>
  </w:footnote>
  <w:footnote w:id="8">
    <w:p w:rsidR="003C2DBB" w:rsidRPr="003C2DBB" w:rsidRDefault="003C2DBB" w:rsidP="003C2DBB">
      <w:pPr>
        <w:spacing w:after="0" w:line="360" w:lineRule="auto"/>
        <w:contextualSpacing/>
        <w:jc w:val="both"/>
        <w:rPr>
          <w:rFonts w:ascii="Times New Roman" w:eastAsiaTheme="minorEastAsia" w:hAnsi="Times New Roman" w:cs="Times New Roman"/>
          <w:sz w:val="18"/>
          <w:szCs w:val="18"/>
          <w:lang w:bidi="en-US"/>
        </w:rPr>
      </w:pPr>
      <w:r>
        <w:rPr>
          <w:rStyle w:val="af0"/>
        </w:rPr>
        <w:footnoteRef/>
      </w:r>
      <w:r w:rsidRPr="003C2DBB">
        <w:rPr>
          <w:sz w:val="18"/>
          <w:szCs w:val="18"/>
        </w:rPr>
        <w:t xml:space="preserve"> </w:t>
      </w:r>
      <w:r w:rsidRPr="003C2DBB">
        <w:rPr>
          <w:rFonts w:ascii="Times New Roman" w:eastAsiaTheme="minorEastAsia" w:hAnsi="Times New Roman" w:cs="Times New Roman"/>
          <w:sz w:val="18"/>
          <w:szCs w:val="18"/>
          <w:lang w:bidi="en-US"/>
        </w:rPr>
        <w:t>http</w:t>
      </w:r>
      <w:r>
        <w:rPr>
          <w:rFonts w:ascii="Times New Roman" w:eastAsiaTheme="minorEastAsia" w:hAnsi="Times New Roman" w:cs="Times New Roman"/>
          <w:sz w:val="18"/>
          <w:szCs w:val="18"/>
          <w:lang w:bidi="en-US"/>
        </w:rPr>
        <w:t>://www.banki.ru/operations/eds/</w:t>
      </w:r>
    </w:p>
  </w:footnote>
  <w:footnote w:id="9">
    <w:p w:rsidR="003C2DBB" w:rsidRPr="00413AEB" w:rsidRDefault="003C2DBB" w:rsidP="00413AEB">
      <w:pPr>
        <w:spacing w:after="0" w:line="360" w:lineRule="auto"/>
        <w:contextualSpacing/>
        <w:jc w:val="both"/>
        <w:rPr>
          <w:rFonts w:ascii="Times New Roman" w:eastAsia="Times New Roman" w:hAnsi="Times New Roman" w:cs="Times New Roman"/>
          <w:sz w:val="18"/>
          <w:szCs w:val="18"/>
          <w:lang w:eastAsia="ru-RU"/>
        </w:rPr>
      </w:pPr>
      <w:r w:rsidRPr="003C2DBB">
        <w:rPr>
          <w:rStyle w:val="af0"/>
          <w:sz w:val="18"/>
          <w:szCs w:val="18"/>
        </w:rPr>
        <w:footnoteRef/>
      </w:r>
      <w:r w:rsidRPr="003C2DBB">
        <w:rPr>
          <w:sz w:val="18"/>
          <w:szCs w:val="18"/>
        </w:rPr>
        <w:t xml:space="preserve"> </w:t>
      </w:r>
      <w:r w:rsidRPr="003C2DBB">
        <w:rPr>
          <w:rFonts w:ascii="Times New Roman" w:eastAsia="Times New Roman" w:hAnsi="Times New Roman" w:cs="Times New Roman"/>
          <w:sz w:val="18"/>
          <w:szCs w:val="18"/>
          <w:lang w:eastAsia="ru-RU"/>
        </w:rPr>
        <w:t xml:space="preserve">Андрюшин С. А. Особенности эволюции банковской системы в России. </w:t>
      </w:r>
      <w:r w:rsidR="00413AEB">
        <w:rPr>
          <w:rFonts w:ascii="Times New Roman" w:eastAsia="Times New Roman" w:hAnsi="Times New Roman" w:cs="Times New Roman"/>
          <w:sz w:val="18"/>
          <w:szCs w:val="18"/>
          <w:lang w:eastAsia="ru-RU"/>
        </w:rPr>
        <w:t>М., Банкъ,2011</w:t>
      </w:r>
    </w:p>
  </w:footnote>
  <w:footnote w:id="10">
    <w:p w:rsidR="003C2DBB" w:rsidRPr="00413AEB" w:rsidRDefault="003C2DBB" w:rsidP="00413AEB">
      <w:pPr>
        <w:spacing w:after="0" w:line="360" w:lineRule="auto"/>
        <w:contextualSpacing/>
        <w:jc w:val="both"/>
        <w:rPr>
          <w:rFonts w:ascii="Times New Roman" w:eastAsiaTheme="minorEastAsia" w:hAnsi="Times New Roman" w:cs="Times New Roman"/>
          <w:sz w:val="28"/>
          <w:szCs w:val="28"/>
          <w:lang w:bidi="en-US"/>
        </w:rPr>
      </w:pPr>
      <w:r>
        <w:rPr>
          <w:rStyle w:val="af0"/>
        </w:rPr>
        <w:footnoteRef/>
      </w:r>
      <w:r>
        <w:t xml:space="preserve"> </w:t>
      </w:r>
      <w:hyperlink r:id="rId2" w:tgtFrame="_blank" w:history="1">
        <w:r w:rsidRPr="003C2DBB">
          <w:rPr>
            <w:rFonts w:ascii="Times New Roman" w:hAnsi="Times New Roman" w:cs="Times New Roman"/>
            <w:sz w:val="18"/>
            <w:szCs w:val="18"/>
          </w:rPr>
          <w:t>http://www.expert.ru</w:t>
        </w:r>
      </w:hyperlink>
      <w:r w:rsidRPr="007915A2">
        <w:t xml:space="preserve"> </w:t>
      </w:r>
    </w:p>
  </w:footnote>
  <w:footnote w:id="11">
    <w:p w:rsidR="003C2DBB" w:rsidRPr="003C2DBB" w:rsidRDefault="003C2DBB" w:rsidP="003C2DB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3C2DBB">
        <w:rPr>
          <w:rFonts w:ascii="Times New Roman" w:eastAsia="Times New Roman" w:hAnsi="Times New Roman" w:cs="Times New Roman"/>
          <w:sz w:val="18"/>
          <w:szCs w:val="18"/>
          <w:lang w:eastAsia="ru-RU"/>
        </w:rPr>
        <w:t>Банковское дело /Под ред. Лаврушина О.И. - М.: Банковский и биржевой НКЦ, 2010</w:t>
      </w:r>
    </w:p>
  </w:footnote>
  <w:footnote w:id="12">
    <w:p w:rsidR="003C2DBB" w:rsidRPr="00413AEB" w:rsidRDefault="003C2DBB" w:rsidP="00413AE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3C2DBB">
        <w:rPr>
          <w:rFonts w:ascii="Times New Roman" w:eastAsia="Times New Roman" w:hAnsi="Times New Roman" w:cs="Times New Roman"/>
          <w:sz w:val="18"/>
          <w:szCs w:val="18"/>
          <w:lang w:eastAsia="ru-RU"/>
        </w:rPr>
        <w:t>Финансы, деньги, кредит: Учеб.пособие/ под ред. Е.Г. Черновой. – М.: ТК Велби, 2009</w:t>
      </w:r>
    </w:p>
  </w:footnote>
  <w:footnote w:id="13">
    <w:p w:rsidR="003C2DBB" w:rsidRPr="00413AEB" w:rsidRDefault="003C2DBB" w:rsidP="00413AE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3C2DBB">
        <w:rPr>
          <w:rFonts w:ascii="Times New Roman" w:eastAsia="Times New Roman" w:hAnsi="Times New Roman" w:cs="Times New Roman"/>
          <w:sz w:val="18"/>
          <w:szCs w:val="18"/>
          <w:lang w:eastAsia="ru-RU"/>
        </w:rPr>
        <w:t>Деньги, кредит, банки: Учеб.пособие /Под ред. В.П. Воронина, С.П. Федорова,  М: Юрайт,2010</w:t>
      </w:r>
    </w:p>
  </w:footnote>
  <w:footnote w:id="14">
    <w:p w:rsidR="003C2DBB" w:rsidRPr="00C84A80" w:rsidRDefault="003C2DBB" w:rsidP="003C2DB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3C2DBB">
        <w:rPr>
          <w:rFonts w:ascii="Times New Roman" w:eastAsia="Times New Roman" w:hAnsi="Times New Roman" w:cs="Times New Roman"/>
          <w:sz w:val="18"/>
          <w:szCs w:val="18"/>
          <w:lang w:eastAsia="ru-RU"/>
        </w:rPr>
        <w:t>Финансы. Денежное обращение, кредит: Учебник / Под ред. Л.А. Дробозиной. – М.,2009</w:t>
      </w:r>
    </w:p>
    <w:p w:rsidR="003C2DBB" w:rsidRDefault="003C2DBB">
      <w:pPr>
        <w:pStyle w:val="ae"/>
      </w:pPr>
    </w:p>
  </w:footnote>
  <w:footnote w:id="15">
    <w:p w:rsidR="0058267B" w:rsidRPr="00413AEB" w:rsidRDefault="0058267B" w:rsidP="00413AEB">
      <w:pPr>
        <w:widowControl w:val="0"/>
        <w:autoSpaceDE w:val="0"/>
        <w:autoSpaceDN w:val="0"/>
        <w:adjustRightInd w:val="0"/>
        <w:spacing w:after="0" w:line="360" w:lineRule="auto"/>
        <w:ind w:right="284"/>
        <w:contextualSpacing/>
        <w:jc w:val="both"/>
        <w:rPr>
          <w:rFonts w:ascii="Times New Roman" w:eastAsia="Times New Roman" w:hAnsi="Times New Roman" w:cs="Times New Roman"/>
          <w:sz w:val="28"/>
          <w:szCs w:val="28"/>
          <w:lang w:eastAsia="ru-RU"/>
        </w:rPr>
      </w:pPr>
      <w:r>
        <w:rPr>
          <w:rStyle w:val="af0"/>
        </w:rPr>
        <w:footnoteRef/>
      </w:r>
      <w:r>
        <w:t xml:space="preserve"> </w:t>
      </w:r>
      <w:r w:rsidRPr="0058267B">
        <w:rPr>
          <w:rFonts w:ascii="Times New Roman" w:eastAsia="Times New Roman" w:hAnsi="Times New Roman" w:cs="Times New Roman"/>
          <w:sz w:val="18"/>
          <w:szCs w:val="18"/>
          <w:lang w:eastAsia="ru-RU"/>
        </w:rPr>
        <w:t>Деньги, кредит, банки. Щегорцев В.А., Таран В.А. –М.: ЮНИТИ, 2010</w:t>
      </w:r>
    </w:p>
  </w:footnote>
  <w:footnote w:id="16">
    <w:p w:rsidR="0058267B" w:rsidRPr="00413AEB" w:rsidRDefault="0058267B" w:rsidP="00413AE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58267B">
        <w:rPr>
          <w:rFonts w:ascii="Times New Roman" w:eastAsia="Times New Roman" w:hAnsi="Times New Roman" w:cs="Times New Roman"/>
          <w:sz w:val="18"/>
          <w:szCs w:val="18"/>
          <w:lang w:eastAsia="ru-RU"/>
        </w:rPr>
        <w:t>Маркова О. М., Сахарова Л.С., Сидорова В.Н., Коммерческие банки и их операции, М.: ЮНИТИ, 2009</w:t>
      </w:r>
    </w:p>
  </w:footnote>
  <w:footnote w:id="17">
    <w:p w:rsidR="0058267B" w:rsidRDefault="0058267B">
      <w:pPr>
        <w:pStyle w:val="ae"/>
      </w:pPr>
      <w:r>
        <w:rPr>
          <w:rStyle w:val="af0"/>
        </w:rPr>
        <w:footnoteRef/>
      </w:r>
      <w:r>
        <w:t xml:space="preserve"> </w:t>
      </w:r>
      <w:hyperlink r:id="rId3" w:tgtFrame="_blank" w:history="1">
        <w:r w:rsidRPr="0058267B">
          <w:rPr>
            <w:sz w:val="18"/>
            <w:szCs w:val="18"/>
          </w:rPr>
          <w:t>http://www.lomonosov-msu.ru</w:t>
        </w:r>
      </w:hyperlink>
      <w:r w:rsidRPr="007915A2">
        <w:rPr>
          <w:sz w:val="28"/>
          <w:szCs w:val="28"/>
        </w:rPr>
        <w:t xml:space="preserve">  </w:t>
      </w:r>
      <w:r w:rsidRPr="007915A2">
        <w:t xml:space="preserve">  </w:t>
      </w:r>
    </w:p>
  </w:footnote>
  <w:footnote w:id="18">
    <w:p w:rsidR="0058267B" w:rsidRPr="00413AEB" w:rsidRDefault="0058267B" w:rsidP="00413AEB">
      <w:pPr>
        <w:widowControl w:val="0"/>
        <w:autoSpaceDE w:val="0"/>
        <w:autoSpaceDN w:val="0"/>
        <w:adjustRightInd w:val="0"/>
        <w:spacing w:after="0" w:line="360" w:lineRule="auto"/>
        <w:ind w:right="284"/>
        <w:contextualSpacing/>
        <w:jc w:val="both"/>
        <w:rPr>
          <w:rFonts w:ascii="Times New Roman" w:eastAsia="Times New Roman" w:hAnsi="Times New Roman" w:cs="Times New Roman"/>
          <w:sz w:val="28"/>
          <w:szCs w:val="28"/>
          <w:lang w:eastAsia="ru-RU"/>
        </w:rPr>
      </w:pPr>
      <w:r>
        <w:rPr>
          <w:rStyle w:val="af0"/>
        </w:rPr>
        <w:footnoteRef/>
      </w:r>
      <w:r>
        <w:t xml:space="preserve"> </w:t>
      </w:r>
      <w:r w:rsidRPr="0058267B">
        <w:rPr>
          <w:rFonts w:ascii="Times New Roman" w:eastAsia="Times New Roman" w:hAnsi="Times New Roman" w:cs="Times New Roman"/>
          <w:sz w:val="18"/>
          <w:szCs w:val="18"/>
          <w:lang w:eastAsia="ru-RU"/>
        </w:rPr>
        <w:t>Деньги, кредит, банки. Учебник. Лаврушин О.И. -3-е изд., -М.: КноРус,2008</w:t>
      </w:r>
    </w:p>
  </w:footnote>
  <w:footnote w:id="19">
    <w:p w:rsidR="0058267B" w:rsidRPr="00413AEB" w:rsidRDefault="0058267B" w:rsidP="00413AEB">
      <w:pPr>
        <w:widowControl w:val="0"/>
        <w:spacing w:after="0" w:line="360" w:lineRule="auto"/>
        <w:contextualSpacing/>
        <w:jc w:val="both"/>
        <w:rPr>
          <w:rFonts w:ascii="Times New Roman" w:eastAsia="Times New Roman" w:hAnsi="Times New Roman" w:cs="Times New Roman"/>
          <w:sz w:val="18"/>
          <w:szCs w:val="18"/>
          <w:lang w:eastAsia="ru-RU"/>
        </w:rPr>
      </w:pPr>
      <w:r w:rsidRPr="0058267B">
        <w:rPr>
          <w:rStyle w:val="af0"/>
          <w:sz w:val="18"/>
          <w:szCs w:val="18"/>
        </w:rPr>
        <w:footnoteRef/>
      </w:r>
      <w:r w:rsidRPr="0058267B">
        <w:rPr>
          <w:sz w:val="18"/>
          <w:szCs w:val="18"/>
        </w:rPr>
        <w:t xml:space="preserve"> </w:t>
      </w:r>
      <w:r w:rsidRPr="0058267B">
        <w:rPr>
          <w:rFonts w:ascii="Times New Roman" w:eastAsia="Times New Roman" w:hAnsi="Times New Roman" w:cs="Times New Roman"/>
          <w:sz w:val="18"/>
          <w:szCs w:val="18"/>
          <w:lang w:eastAsia="ru-RU"/>
        </w:rPr>
        <w:t>Деньги, кредит, банки: Учебник / под ред.</w:t>
      </w:r>
      <w:r w:rsidR="00413AEB">
        <w:rPr>
          <w:rFonts w:ascii="Times New Roman" w:eastAsia="Times New Roman" w:hAnsi="Times New Roman" w:cs="Times New Roman"/>
          <w:sz w:val="18"/>
          <w:szCs w:val="18"/>
          <w:lang w:eastAsia="ru-RU"/>
        </w:rPr>
        <w:t xml:space="preserve"> Жукова Е.Ф. –  М.: ЮНИТИ, 2010</w:t>
      </w:r>
    </w:p>
  </w:footnote>
  <w:footnote w:id="20">
    <w:p w:rsidR="00413AEB" w:rsidRPr="00413AEB" w:rsidRDefault="00413AEB" w:rsidP="00413AEB">
      <w:pPr>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413AEB">
        <w:rPr>
          <w:rFonts w:ascii="Times New Roman" w:eastAsia="Times New Roman" w:hAnsi="Times New Roman" w:cs="Times New Roman"/>
          <w:sz w:val="18"/>
          <w:szCs w:val="18"/>
          <w:lang w:eastAsia="ru-RU"/>
        </w:rPr>
        <w:t>Деньги, кредит, банки: Учеб.пособие /Под ред. В.П. Воронина, С.П. Федорова,  М: Юрайт,</w:t>
      </w:r>
      <w:r>
        <w:rPr>
          <w:rFonts w:ascii="Times New Roman" w:eastAsia="Times New Roman" w:hAnsi="Times New Roman" w:cs="Times New Roman"/>
          <w:sz w:val="18"/>
          <w:szCs w:val="18"/>
          <w:lang w:eastAsia="ru-RU"/>
        </w:rPr>
        <w:t xml:space="preserve"> </w:t>
      </w:r>
      <w:r w:rsidRPr="00413AEB">
        <w:rPr>
          <w:rFonts w:ascii="Times New Roman" w:eastAsia="Times New Roman" w:hAnsi="Times New Roman" w:cs="Times New Roman"/>
          <w:sz w:val="18"/>
          <w:szCs w:val="18"/>
          <w:lang w:eastAsia="ru-RU"/>
        </w:rPr>
        <w:t>2010</w:t>
      </w:r>
    </w:p>
  </w:footnote>
  <w:footnote w:id="21">
    <w:p w:rsidR="00413AEB" w:rsidRPr="00413AEB" w:rsidRDefault="00413AEB" w:rsidP="00413AEB">
      <w:pPr>
        <w:spacing w:after="0" w:line="360" w:lineRule="auto"/>
        <w:contextualSpacing/>
        <w:jc w:val="both"/>
        <w:rPr>
          <w:rFonts w:ascii="Times New Roman" w:hAnsi="Times New Roman" w:cs="Times New Roman"/>
          <w:sz w:val="28"/>
          <w:szCs w:val="28"/>
          <w:lang w:bidi="en-US"/>
        </w:rPr>
      </w:pPr>
      <w:r>
        <w:rPr>
          <w:rStyle w:val="af0"/>
        </w:rPr>
        <w:footnoteRef/>
      </w:r>
      <w:r>
        <w:t xml:space="preserve"> </w:t>
      </w:r>
      <w:hyperlink r:id="rId4" w:history="1">
        <w:r w:rsidRPr="00413AEB">
          <w:rPr>
            <w:rFonts w:ascii="Times New Roman" w:hAnsi="Times New Roman" w:cs="Times New Roman"/>
            <w:sz w:val="18"/>
            <w:szCs w:val="18"/>
          </w:rPr>
          <w:t>http://www.banki.ru/banks/bank/royalcreditbank/</w:t>
        </w:r>
      </w:hyperlink>
    </w:p>
  </w:footnote>
  <w:footnote w:id="22">
    <w:p w:rsidR="00413AEB" w:rsidRPr="00413AEB" w:rsidRDefault="00413AEB" w:rsidP="00413AEB">
      <w:pPr>
        <w:widowControl w:val="0"/>
        <w:spacing w:after="0" w:line="360" w:lineRule="auto"/>
        <w:contextualSpacing/>
        <w:jc w:val="both"/>
        <w:rPr>
          <w:rFonts w:ascii="Times New Roman" w:eastAsia="Times New Roman" w:hAnsi="Times New Roman" w:cs="Times New Roman"/>
          <w:sz w:val="28"/>
          <w:szCs w:val="28"/>
          <w:lang w:eastAsia="ru-RU"/>
        </w:rPr>
      </w:pPr>
      <w:r>
        <w:rPr>
          <w:rStyle w:val="af0"/>
        </w:rPr>
        <w:footnoteRef/>
      </w:r>
      <w:r>
        <w:t xml:space="preserve"> </w:t>
      </w:r>
      <w:r w:rsidRPr="00413AEB">
        <w:rPr>
          <w:rFonts w:ascii="Times New Roman" w:eastAsia="Times New Roman" w:hAnsi="Times New Roman" w:cs="Times New Roman"/>
          <w:sz w:val="18"/>
          <w:szCs w:val="18"/>
          <w:lang w:eastAsia="ru-RU"/>
        </w:rPr>
        <w:t>http://www.banki-delo.ru/</w:t>
      </w:r>
    </w:p>
  </w:footnote>
  <w:footnote w:id="23">
    <w:p w:rsidR="00413AEB" w:rsidRDefault="00413AEB">
      <w:pPr>
        <w:pStyle w:val="ae"/>
      </w:pPr>
      <w:r>
        <w:rPr>
          <w:rStyle w:val="af0"/>
        </w:rPr>
        <w:footnoteRef/>
      </w:r>
      <w:r>
        <w:t xml:space="preserve"> </w:t>
      </w:r>
      <w:hyperlink r:id="rId5" w:history="1">
        <w:r w:rsidRPr="00413AEB">
          <w:rPr>
            <w:rFonts w:eastAsiaTheme="minorEastAsia"/>
            <w:sz w:val="18"/>
            <w:szCs w:val="18"/>
            <w:lang w:bidi="en-US"/>
          </w:rPr>
          <w:t>http://www.rts.ru/ru/listing/emidocs.html?iss=ROSB</w:t>
        </w:r>
      </w:hyperlink>
    </w:p>
  </w:footnote>
  <w:footnote w:id="24">
    <w:p w:rsidR="00413AEB" w:rsidRPr="00413AEB" w:rsidRDefault="00413AEB" w:rsidP="00413AEB">
      <w:pPr>
        <w:widowControl w:val="0"/>
        <w:spacing w:after="0" w:line="360" w:lineRule="auto"/>
        <w:contextualSpacing/>
        <w:jc w:val="both"/>
        <w:rPr>
          <w:rFonts w:ascii="Times New Roman" w:eastAsia="Times New Roman" w:hAnsi="Times New Roman" w:cs="Times New Roman"/>
          <w:sz w:val="18"/>
          <w:szCs w:val="18"/>
          <w:lang w:eastAsia="ru-RU"/>
        </w:rPr>
      </w:pPr>
      <w:r>
        <w:rPr>
          <w:rStyle w:val="af0"/>
        </w:rPr>
        <w:footnoteRef/>
      </w:r>
      <w:r>
        <w:t xml:space="preserve"> </w:t>
      </w:r>
      <w:r w:rsidRPr="00413AEB">
        <w:rPr>
          <w:rFonts w:ascii="Times New Roman" w:eastAsia="Times New Roman" w:hAnsi="Times New Roman" w:cs="Times New Roman"/>
          <w:sz w:val="18"/>
          <w:szCs w:val="18"/>
          <w:lang w:val="en-US" w:eastAsia="ru-RU"/>
        </w:rPr>
        <w:t>www</w:t>
      </w:r>
      <w:r w:rsidRPr="00413AEB">
        <w:rPr>
          <w:rFonts w:ascii="Times New Roman" w:eastAsia="Times New Roman" w:hAnsi="Times New Roman" w:cs="Times New Roman"/>
          <w:sz w:val="18"/>
          <w:szCs w:val="18"/>
          <w:lang w:eastAsia="ru-RU"/>
        </w:rPr>
        <w:t>.</w:t>
      </w:r>
      <w:hyperlink r:id="rId6" w:tgtFrame="_blank" w:history="1">
        <w:r w:rsidRPr="00413AEB">
          <w:rPr>
            <w:rFonts w:ascii="Times New Roman" w:eastAsia="Times New Roman" w:hAnsi="Times New Roman" w:cs="Times New Roman"/>
            <w:sz w:val="18"/>
            <w:szCs w:val="18"/>
            <w:lang w:val="en-US" w:eastAsia="ru-RU"/>
          </w:rPr>
          <w:t>bankir</w:t>
        </w:r>
        <w:r w:rsidRPr="00413AEB">
          <w:rPr>
            <w:rFonts w:ascii="Times New Roman" w:eastAsia="Times New Roman" w:hAnsi="Times New Roman" w:cs="Times New Roman"/>
            <w:sz w:val="18"/>
            <w:szCs w:val="18"/>
            <w:lang w:eastAsia="ru-RU"/>
          </w:rPr>
          <w:t>.</w:t>
        </w:r>
        <w:r w:rsidRPr="00413AEB">
          <w:rPr>
            <w:rFonts w:ascii="Times New Roman" w:eastAsia="Times New Roman" w:hAnsi="Times New Roman" w:cs="Times New Roman"/>
            <w:sz w:val="18"/>
            <w:szCs w:val="18"/>
            <w:lang w:val="en-US" w:eastAsia="ru-RU"/>
          </w:rPr>
          <w:t>ru</w:t>
        </w:r>
      </w:hyperlink>
      <w:r w:rsidRPr="00413AEB">
        <w:rPr>
          <w:rFonts w:ascii="Times New Roman" w:eastAsia="Times New Roman" w:hAnsi="Times New Roman" w:cs="Times New Roman"/>
          <w:sz w:val="18"/>
          <w:szCs w:val="18"/>
          <w:lang w:eastAsia="ru-RU"/>
        </w:rPr>
        <w:t>›</w:t>
      </w:r>
      <w:hyperlink r:id="rId7" w:tgtFrame="_blank" w:history="1">
        <w:r w:rsidRPr="00413AEB">
          <w:rPr>
            <w:rFonts w:ascii="Times New Roman" w:eastAsia="Times New Roman" w:hAnsi="Times New Roman" w:cs="Times New Roman"/>
            <w:sz w:val="18"/>
            <w:szCs w:val="18"/>
            <w:lang w:eastAsia="ru-RU"/>
          </w:rPr>
          <w:t>Технологии</w:t>
        </w:r>
      </w:hyperlink>
      <w:r w:rsidRPr="00413AEB">
        <w:rPr>
          <w:rFonts w:ascii="Times New Roman" w:eastAsia="Times New Roman" w:hAnsi="Times New Roman" w:cs="Times New Roman"/>
          <w:sz w:val="18"/>
          <w:szCs w:val="18"/>
          <w:lang w:eastAsia="ru-RU"/>
        </w:rPr>
        <w:t>›</w:t>
      </w:r>
      <w:hyperlink r:id="rId8" w:tgtFrame="_blank" w:history="1">
        <w:r w:rsidRPr="00413AEB">
          <w:rPr>
            <w:rFonts w:ascii="Times New Roman" w:eastAsia="Times New Roman" w:hAnsi="Times New Roman" w:cs="Times New Roman"/>
            <w:sz w:val="18"/>
            <w:szCs w:val="18"/>
            <w:lang w:val="en-US" w:eastAsia="ru-RU"/>
          </w:rPr>
          <w:t>s</w:t>
        </w:r>
        <w:r w:rsidRPr="00413AEB">
          <w:rPr>
            <w:rFonts w:ascii="Times New Roman" w:eastAsia="Times New Roman" w:hAnsi="Times New Roman" w:cs="Times New Roman"/>
            <w:sz w:val="18"/>
            <w:szCs w:val="18"/>
            <w:lang w:eastAsia="ru-RU"/>
          </w:rPr>
          <w:t>/</w:t>
        </w:r>
        <w:r w:rsidRPr="00413AEB">
          <w:rPr>
            <w:rFonts w:ascii="Times New Roman" w:eastAsia="Times New Roman" w:hAnsi="Times New Roman" w:cs="Times New Roman"/>
            <w:sz w:val="18"/>
            <w:szCs w:val="18"/>
            <w:lang w:val="en-US" w:eastAsia="ru-RU"/>
          </w:rPr>
          <w:t>rabota</w:t>
        </w:r>
        <w:r w:rsidRPr="00413AEB">
          <w:rPr>
            <w:rFonts w:ascii="Times New Roman" w:eastAsia="Times New Roman" w:hAnsi="Times New Roman" w:cs="Times New Roman"/>
            <w:sz w:val="18"/>
            <w:szCs w:val="18"/>
            <w:lang w:eastAsia="ru-RU"/>
          </w:rPr>
          <w:t>-</w:t>
        </w:r>
        <w:r w:rsidRPr="00413AEB">
          <w:rPr>
            <w:rFonts w:ascii="Times New Roman" w:eastAsia="Times New Roman" w:hAnsi="Times New Roman" w:cs="Times New Roman"/>
            <w:bCs/>
            <w:sz w:val="18"/>
            <w:szCs w:val="18"/>
            <w:lang w:val="en-US" w:eastAsia="ru-RU"/>
          </w:rPr>
          <w:t>s</w:t>
        </w:r>
        <w:r w:rsidRPr="00413AEB">
          <w:rPr>
            <w:rFonts w:ascii="Times New Roman" w:eastAsia="Times New Roman" w:hAnsi="Times New Roman" w:cs="Times New Roman"/>
            <w:sz w:val="18"/>
            <w:szCs w:val="18"/>
            <w:lang w:eastAsia="ru-RU"/>
          </w:rPr>
          <w:t>-</w:t>
        </w:r>
        <w:r w:rsidRPr="00413AEB">
          <w:rPr>
            <w:rFonts w:ascii="Times New Roman" w:eastAsia="Times New Roman" w:hAnsi="Times New Roman" w:cs="Times New Roman"/>
            <w:bCs/>
            <w:sz w:val="18"/>
            <w:szCs w:val="18"/>
            <w:lang w:val="en-US" w:eastAsia="ru-RU"/>
          </w:rPr>
          <w:t>klientami</w:t>
        </w:r>
        <w:r w:rsidRPr="00413AEB">
          <w:rPr>
            <w:rFonts w:ascii="Times New Roman" w:eastAsia="Times New Roman" w:hAnsi="Times New Roman" w:cs="Times New Roman"/>
            <w:sz w:val="18"/>
            <w:szCs w:val="18"/>
            <w:lang w:eastAsia="ru-RU"/>
          </w:rPr>
          <w:t>-</w:t>
        </w:r>
        <w:r w:rsidRPr="00413AEB">
          <w:rPr>
            <w:rFonts w:ascii="Times New Roman" w:eastAsia="Times New Roman" w:hAnsi="Times New Roman" w:cs="Times New Roman"/>
            <w:sz w:val="18"/>
            <w:szCs w:val="18"/>
            <w:lang w:val="en-US" w:eastAsia="ru-RU"/>
          </w:rPr>
          <w:t>kak</w:t>
        </w:r>
        <w:r w:rsidRPr="00413AEB">
          <w:rPr>
            <w:rFonts w:ascii="Times New Roman" w:eastAsia="Times New Roman" w:hAnsi="Times New Roman" w:cs="Times New Roman"/>
            <w:sz w:val="18"/>
            <w:szCs w:val="18"/>
            <w:lang w:eastAsia="ru-RU"/>
          </w:rPr>
          <w:t>…</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3029"/>
    <w:multiLevelType w:val="hybridMultilevel"/>
    <w:tmpl w:val="8D243B2C"/>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C592EB9"/>
    <w:multiLevelType w:val="hybridMultilevel"/>
    <w:tmpl w:val="4B185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9DF7775"/>
    <w:multiLevelType w:val="multilevel"/>
    <w:tmpl w:val="3D32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A623A9"/>
    <w:multiLevelType w:val="hybridMultilevel"/>
    <w:tmpl w:val="33D86BB4"/>
    <w:lvl w:ilvl="0" w:tplc="539CDC6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1"/>
    <w:footnote w:id="0"/>
  </w:footnotePr>
  <w:endnotePr>
    <w:endnote w:id="-1"/>
    <w:endnote w:id="0"/>
  </w:endnotePr>
  <w:compat/>
  <w:rsids>
    <w:rsidRoot w:val="00D76E1F"/>
    <w:rsid w:val="000033ED"/>
    <w:rsid w:val="00062354"/>
    <w:rsid w:val="000D4EF5"/>
    <w:rsid w:val="00126B75"/>
    <w:rsid w:val="001D3535"/>
    <w:rsid w:val="0033211F"/>
    <w:rsid w:val="00365F73"/>
    <w:rsid w:val="003A0D10"/>
    <w:rsid w:val="003C2DBB"/>
    <w:rsid w:val="003D5EAD"/>
    <w:rsid w:val="00413AEB"/>
    <w:rsid w:val="0047305B"/>
    <w:rsid w:val="0058267B"/>
    <w:rsid w:val="005F1DF9"/>
    <w:rsid w:val="00697C2B"/>
    <w:rsid w:val="00727185"/>
    <w:rsid w:val="00784A8D"/>
    <w:rsid w:val="007915A2"/>
    <w:rsid w:val="00833E7B"/>
    <w:rsid w:val="00865763"/>
    <w:rsid w:val="008E4B33"/>
    <w:rsid w:val="009B7369"/>
    <w:rsid w:val="009D7D82"/>
    <w:rsid w:val="00B07A4D"/>
    <w:rsid w:val="00B21624"/>
    <w:rsid w:val="00B52721"/>
    <w:rsid w:val="00C14F92"/>
    <w:rsid w:val="00C252F6"/>
    <w:rsid w:val="00C54059"/>
    <w:rsid w:val="00C611F9"/>
    <w:rsid w:val="00C84A80"/>
    <w:rsid w:val="00C91F1B"/>
    <w:rsid w:val="00CB04FD"/>
    <w:rsid w:val="00D00641"/>
    <w:rsid w:val="00D55C07"/>
    <w:rsid w:val="00D76E1F"/>
    <w:rsid w:val="00D836C4"/>
    <w:rsid w:val="00D93D69"/>
    <w:rsid w:val="00DD3F57"/>
    <w:rsid w:val="00E32EDB"/>
    <w:rsid w:val="00EC0A4F"/>
    <w:rsid w:val="00EF09F6"/>
    <w:rsid w:val="00F4380D"/>
    <w:rsid w:val="00F64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1F"/>
  </w:style>
  <w:style w:type="paragraph" w:styleId="1">
    <w:name w:val="heading 1"/>
    <w:basedOn w:val="a"/>
    <w:next w:val="a"/>
    <w:link w:val="10"/>
    <w:uiPriority w:val="9"/>
    <w:qFormat/>
    <w:rsid w:val="000623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006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00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540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6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0641"/>
  </w:style>
  <w:style w:type="paragraph" w:styleId="a5">
    <w:name w:val="footer"/>
    <w:basedOn w:val="a"/>
    <w:link w:val="a6"/>
    <w:uiPriority w:val="99"/>
    <w:unhideWhenUsed/>
    <w:rsid w:val="00D006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0641"/>
  </w:style>
  <w:style w:type="character" w:customStyle="1" w:styleId="20">
    <w:name w:val="Заголовок 2 Знак"/>
    <w:basedOn w:val="a0"/>
    <w:link w:val="2"/>
    <w:uiPriority w:val="9"/>
    <w:rsid w:val="00D0064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00641"/>
    <w:rPr>
      <w:rFonts w:asciiTheme="majorHAnsi" w:eastAsiaTheme="majorEastAsia" w:hAnsiTheme="majorHAnsi" w:cstheme="majorBidi"/>
      <w:b/>
      <w:bCs/>
      <w:color w:val="4F81BD" w:themeColor="accent1"/>
    </w:rPr>
  </w:style>
  <w:style w:type="paragraph" w:styleId="a7">
    <w:name w:val="Normal (Web)"/>
    <w:basedOn w:val="a"/>
    <w:uiPriority w:val="99"/>
    <w:semiHidden/>
    <w:unhideWhenUsed/>
    <w:rsid w:val="00D00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0064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0641"/>
    <w:rPr>
      <w:rFonts w:ascii="Tahoma" w:hAnsi="Tahoma" w:cs="Tahoma"/>
      <w:sz w:val="16"/>
      <w:szCs w:val="16"/>
    </w:rPr>
  </w:style>
  <w:style w:type="paragraph" w:customStyle="1" w:styleId="contep">
    <w:name w:val="contep"/>
    <w:basedOn w:val="a"/>
    <w:rsid w:val="00C91F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91F1B"/>
    <w:rPr>
      <w:i/>
      <w:iCs/>
    </w:rPr>
  </w:style>
  <w:style w:type="character" w:styleId="ab">
    <w:name w:val="Strong"/>
    <w:basedOn w:val="a0"/>
    <w:uiPriority w:val="22"/>
    <w:qFormat/>
    <w:rsid w:val="00C91F1B"/>
    <w:rPr>
      <w:b/>
      <w:bCs/>
    </w:rPr>
  </w:style>
  <w:style w:type="character" w:customStyle="1" w:styleId="bolderred">
    <w:name w:val="bolderred"/>
    <w:basedOn w:val="a0"/>
    <w:rsid w:val="00C91F1B"/>
  </w:style>
  <w:style w:type="character" w:styleId="ac">
    <w:name w:val="Hyperlink"/>
    <w:basedOn w:val="a0"/>
    <w:uiPriority w:val="99"/>
    <w:unhideWhenUsed/>
    <w:rsid w:val="00C91F1B"/>
    <w:rPr>
      <w:color w:val="0000FF"/>
      <w:u w:val="single"/>
    </w:rPr>
  </w:style>
  <w:style w:type="character" w:customStyle="1" w:styleId="emme">
    <w:name w:val="emme"/>
    <w:basedOn w:val="a0"/>
    <w:rsid w:val="00C91F1B"/>
  </w:style>
  <w:style w:type="character" w:customStyle="1" w:styleId="bolderme">
    <w:name w:val="bolderme"/>
    <w:basedOn w:val="a0"/>
    <w:rsid w:val="00C91F1B"/>
  </w:style>
  <w:style w:type="table" w:styleId="ad">
    <w:name w:val="Table Grid"/>
    <w:basedOn w:val="a1"/>
    <w:uiPriority w:val="59"/>
    <w:rsid w:val="000D4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d"/>
    <w:uiPriority w:val="59"/>
    <w:rsid w:val="00C84A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rsid w:val="00C84A80"/>
    <w:pPr>
      <w:spacing w:after="0" w:line="240" w:lineRule="auto"/>
    </w:pPr>
    <w:rPr>
      <w:rFonts w:ascii="Times New Roman" w:eastAsia="Calibri" w:hAnsi="Times New Roman" w:cs="Times New Roman"/>
      <w:sz w:val="20"/>
      <w:szCs w:val="20"/>
      <w:lang w:eastAsia="ru-RU"/>
    </w:rPr>
  </w:style>
  <w:style w:type="character" w:customStyle="1" w:styleId="af">
    <w:name w:val="Текст сноски Знак"/>
    <w:basedOn w:val="a0"/>
    <w:link w:val="ae"/>
    <w:semiHidden/>
    <w:rsid w:val="00C84A80"/>
    <w:rPr>
      <w:rFonts w:ascii="Times New Roman" w:eastAsia="Calibri" w:hAnsi="Times New Roman" w:cs="Times New Roman"/>
      <w:sz w:val="20"/>
      <w:szCs w:val="20"/>
      <w:lang w:eastAsia="ru-RU"/>
    </w:rPr>
  </w:style>
  <w:style w:type="character" w:styleId="af0">
    <w:name w:val="footnote reference"/>
    <w:semiHidden/>
    <w:rsid w:val="00C84A80"/>
    <w:rPr>
      <w:vertAlign w:val="superscript"/>
    </w:rPr>
  </w:style>
  <w:style w:type="table" w:customStyle="1" w:styleId="21">
    <w:name w:val="Сетка таблицы2"/>
    <w:basedOn w:val="a1"/>
    <w:next w:val="ad"/>
    <w:rsid w:val="00C84A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C84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62354"/>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062354"/>
    <w:pPr>
      <w:outlineLvl w:val="9"/>
    </w:pPr>
    <w:rPr>
      <w:lang w:eastAsia="ru-RU"/>
    </w:rPr>
  </w:style>
  <w:style w:type="paragraph" w:styleId="31">
    <w:name w:val="toc 3"/>
    <w:basedOn w:val="a"/>
    <w:next w:val="a"/>
    <w:autoRedefine/>
    <w:uiPriority w:val="39"/>
    <w:unhideWhenUsed/>
    <w:rsid w:val="00062354"/>
    <w:pPr>
      <w:spacing w:after="100"/>
      <w:ind w:left="440"/>
    </w:pPr>
  </w:style>
  <w:style w:type="paragraph" w:styleId="22">
    <w:name w:val="toc 2"/>
    <w:basedOn w:val="a"/>
    <w:next w:val="a"/>
    <w:autoRedefine/>
    <w:uiPriority w:val="39"/>
    <w:unhideWhenUsed/>
    <w:rsid w:val="00062354"/>
    <w:pPr>
      <w:spacing w:after="100"/>
      <w:ind w:left="220"/>
    </w:pPr>
  </w:style>
  <w:style w:type="character" w:styleId="af2">
    <w:name w:val="page number"/>
    <w:basedOn w:val="a0"/>
    <w:rsid w:val="00C54059"/>
  </w:style>
  <w:style w:type="table" w:customStyle="1" w:styleId="32">
    <w:name w:val="Сетка таблицы3"/>
    <w:basedOn w:val="a1"/>
    <w:next w:val="ad"/>
    <w:rsid w:val="00C540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d"/>
    <w:uiPriority w:val="59"/>
    <w:rsid w:val="00C5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Основной текст_"/>
    <w:basedOn w:val="a0"/>
    <w:link w:val="41"/>
    <w:rsid w:val="00C54059"/>
    <w:rPr>
      <w:rFonts w:cs="Calibri"/>
      <w:sz w:val="17"/>
      <w:szCs w:val="17"/>
      <w:shd w:val="clear" w:color="auto" w:fill="FFFFFF"/>
    </w:rPr>
  </w:style>
  <w:style w:type="paragraph" w:customStyle="1" w:styleId="41">
    <w:name w:val="Основной текст4"/>
    <w:basedOn w:val="a"/>
    <w:link w:val="af3"/>
    <w:rsid w:val="00C54059"/>
    <w:pPr>
      <w:widowControl w:val="0"/>
      <w:shd w:val="clear" w:color="auto" w:fill="FFFFFF"/>
      <w:spacing w:before="360" w:after="360" w:line="216" w:lineRule="exact"/>
    </w:pPr>
    <w:rPr>
      <w:rFonts w:cs="Calibri"/>
      <w:sz w:val="17"/>
      <w:szCs w:val="17"/>
    </w:rPr>
  </w:style>
  <w:style w:type="character" w:customStyle="1" w:styleId="40">
    <w:name w:val="Заголовок 4 Знак"/>
    <w:basedOn w:val="a0"/>
    <w:link w:val="4"/>
    <w:uiPriority w:val="9"/>
    <w:rsid w:val="00C54059"/>
    <w:rPr>
      <w:rFonts w:asciiTheme="majorHAnsi" w:eastAsiaTheme="majorEastAsia" w:hAnsiTheme="majorHAnsi" w:cstheme="majorBidi"/>
      <w:b/>
      <w:bCs/>
      <w:i/>
      <w:iCs/>
      <w:color w:val="4F81BD" w:themeColor="accent1"/>
    </w:rPr>
  </w:style>
  <w:style w:type="numbering" w:customStyle="1" w:styleId="13">
    <w:name w:val="Нет списка1"/>
    <w:next w:val="a2"/>
    <w:uiPriority w:val="99"/>
    <w:semiHidden/>
    <w:unhideWhenUsed/>
    <w:rsid w:val="009B7369"/>
  </w:style>
  <w:style w:type="paragraph" w:customStyle="1" w:styleId="western">
    <w:name w:val="western"/>
    <w:basedOn w:val="a"/>
    <w:rsid w:val="009B7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FollowedHyperlink"/>
    <w:basedOn w:val="a0"/>
    <w:uiPriority w:val="99"/>
    <w:semiHidden/>
    <w:unhideWhenUsed/>
    <w:rsid w:val="009B7369"/>
    <w:rPr>
      <w:color w:val="800080"/>
      <w:u w:val="single"/>
    </w:rPr>
  </w:style>
  <w:style w:type="paragraph" w:styleId="33">
    <w:name w:val="Body Text Indent 3"/>
    <w:basedOn w:val="a"/>
    <w:link w:val="34"/>
    <w:uiPriority w:val="99"/>
    <w:semiHidden/>
    <w:unhideWhenUsed/>
    <w:rsid w:val="005F1DF9"/>
    <w:pPr>
      <w:spacing w:after="120" w:line="360" w:lineRule="auto"/>
      <w:ind w:left="283"/>
      <w:jc w:val="both"/>
    </w:pPr>
    <w:rPr>
      <w:rFonts w:ascii="Times New Roman" w:eastAsia="Times New Roman" w:hAnsi="Times New Roman" w:cs="Arial"/>
      <w:sz w:val="16"/>
      <w:szCs w:val="16"/>
      <w:lang w:eastAsia="ru-RU"/>
    </w:rPr>
  </w:style>
  <w:style w:type="character" w:customStyle="1" w:styleId="34">
    <w:name w:val="Основной текст с отступом 3 Знак"/>
    <w:basedOn w:val="a0"/>
    <w:link w:val="33"/>
    <w:uiPriority w:val="99"/>
    <w:semiHidden/>
    <w:rsid w:val="005F1DF9"/>
    <w:rPr>
      <w:rFonts w:ascii="Times New Roman" w:eastAsia="Times New Roman" w:hAnsi="Times New Roman"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E1F"/>
  </w:style>
  <w:style w:type="paragraph" w:styleId="1">
    <w:name w:val="heading 1"/>
    <w:basedOn w:val="a"/>
    <w:next w:val="a"/>
    <w:link w:val="10"/>
    <w:uiPriority w:val="9"/>
    <w:qFormat/>
    <w:rsid w:val="000623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006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00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5405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06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0641"/>
  </w:style>
  <w:style w:type="paragraph" w:styleId="a5">
    <w:name w:val="footer"/>
    <w:basedOn w:val="a"/>
    <w:link w:val="a6"/>
    <w:uiPriority w:val="99"/>
    <w:unhideWhenUsed/>
    <w:rsid w:val="00D006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0641"/>
  </w:style>
  <w:style w:type="character" w:customStyle="1" w:styleId="20">
    <w:name w:val="Заголовок 2 Знак"/>
    <w:basedOn w:val="a0"/>
    <w:link w:val="2"/>
    <w:uiPriority w:val="9"/>
    <w:rsid w:val="00D0064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00641"/>
    <w:rPr>
      <w:rFonts w:asciiTheme="majorHAnsi" w:eastAsiaTheme="majorEastAsia" w:hAnsiTheme="majorHAnsi" w:cstheme="majorBidi"/>
      <w:b/>
      <w:bCs/>
      <w:color w:val="4F81BD" w:themeColor="accent1"/>
    </w:rPr>
  </w:style>
  <w:style w:type="paragraph" w:styleId="a7">
    <w:name w:val="Normal (Web)"/>
    <w:basedOn w:val="a"/>
    <w:uiPriority w:val="99"/>
    <w:semiHidden/>
    <w:unhideWhenUsed/>
    <w:rsid w:val="00D006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D0064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0641"/>
    <w:rPr>
      <w:rFonts w:ascii="Tahoma" w:hAnsi="Tahoma" w:cs="Tahoma"/>
      <w:sz w:val="16"/>
      <w:szCs w:val="16"/>
    </w:rPr>
  </w:style>
  <w:style w:type="paragraph" w:customStyle="1" w:styleId="contep">
    <w:name w:val="contep"/>
    <w:basedOn w:val="a"/>
    <w:rsid w:val="00C91F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91F1B"/>
    <w:rPr>
      <w:i/>
      <w:iCs/>
    </w:rPr>
  </w:style>
  <w:style w:type="character" w:styleId="ab">
    <w:name w:val="Strong"/>
    <w:basedOn w:val="a0"/>
    <w:uiPriority w:val="22"/>
    <w:qFormat/>
    <w:rsid w:val="00C91F1B"/>
    <w:rPr>
      <w:b/>
      <w:bCs/>
    </w:rPr>
  </w:style>
  <w:style w:type="character" w:customStyle="1" w:styleId="bolderred">
    <w:name w:val="bolderred"/>
    <w:basedOn w:val="a0"/>
    <w:rsid w:val="00C91F1B"/>
  </w:style>
  <w:style w:type="character" w:styleId="ac">
    <w:name w:val="Hyperlink"/>
    <w:basedOn w:val="a0"/>
    <w:uiPriority w:val="99"/>
    <w:unhideWhenUsed/>
    <w:rsid w:val="00C91F1B"/>
    <w:rPr>
      <w:color w:val="0000FF"/>
      <w:u w:val="single"/>
    </w:rPr>
  </w:style>
  <w:style w:type="character" w:customStyle="1" w:styleId="emme">
    <w:name w:val="emme"/>
    <w:basedOn w:val="a0"/>
    <w:rsid w:val="00C91F1B"/>
  </w:style>
  <w:style w:type="character" w:customStyle="1" w:styleId="bolderme">
    <w:name w:val="bolderme"/>
    <w:basedOn w:val="a0"/>
    <w:rsid w:val="00C91F1B"/>
  </w:style>
  <w:style w:type="table" w:styleId="ad">
    <w:name w:val="Table Grid"/>
    <w:basedOn w:val="a1"/>
    <w:uiPriority w:val="59"/>
    <w:rsid w:val="000D4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d"/>
    <w:uiPriority w:val="59"/>
    <w:rsid w:val="00C84A80"/>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semiHidden/>
    <w:rsid w:val="00C84A80"/>
    <w:pPr>
      <w:spacing w:after="0" w:line="240" w:lineRule="auto"/>
    </w:pPr>
    <w:rPr>
      <w:rFonts w:ascii="Times New Roman" w:eastAsia="Calibri" w:hAnsi="Times New Roman" w:cs="Times New Roman"/>
      <w:sz w:val="20"/>
      <w:szCs w:val="20"/>
      <w:lang w:eastAsia="ru-RU"/>
    </w:rPr>
  </w:style>
  <w:style w:type="character" w:customStyle="1" w:styleId="af">
    <w:name w:val="Текст сноски Знак"/>
    <w:basedOn w:val="a0"/>
    <w:link w:val="ae"/>
    <w:semiHidden/>
    <w:rsid w:val="00C84A80"/>
    <w:rPr>
      <w:rFonts w:ascii="Times New Roman" w:eastAsia="Calibri" w:hAnsi="Times New Roman" w:cs="Times New Roman"/>
      <w:sz w:val="20"/>
      <w:szCs w:val="20"/>
      <w:lang w:eastAsia="ru-RU"/>
    </w:rPr>
  </w:style>
  <w:style w:type="character" w:styleId="af0">
    <w:name w:val="footnote reference"/>
    <w:semiHidden/>
    <w:rsid w:val="00C84A80"/>
    <w:rPr>
      <w:vertAlign w:val="superscript"/>
    </w:rPr>
  </w:style>
  <w:style w:type="table" w:customStyle="1" w:styleId="21">
    <w:name w:val="Сетка таблицы2"/>
    <w:basedOn w:val="a1"/>
    <w:next w:val="ad"/>
    <w:rsid w:val="00C84A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d"/>
    <w:uiPriority w:val="59"/>
    <w:rsid w:val="00C84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62354"/>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062354"/>
    <w:pPr>
      <w:outlineLvl w:val="9"/>
    </w:pPr>
    <w:rPr>
      <w:lang w:eastAsia="ru-RU"/>
    </w:rPr>
  </w:style>
  <w:style w:type="paragraph" w:styleId="31">
    <w:name w:val="toc 3"/>
    <w:basedOn w:val="a"/>
    <w:next w:val="a"/>
    <w:autoRedefine/>
    <w:uiPriority w:val="39"/>
    <w:unhideWhenUsed/>
    <w:rsid w:val="00062354"/>
    <w:pPr>
      <w:spacing w:after="100"/>
      <w:ind w:left="440"/>
    </w:pPr>
  </w:style>
  <w:style w:type="paragraph" w:styleId="22">
    <w:name w:val="toc 2"/>
    <w:basedOn w:val="a"/>
    <w:next w:val="a"/>
    <w:autoRedefine/>
    <w:uiPriority w:val="39"/>
    <w:unhideWhenUsed/>
    <w:rsid w:val="00062354"/>
    <w:pPr>
      <w:spacing w:after="100"/>
      <w:ind w:left="220"/>
    </w:pPr>
  </w:style>
  <w:style w:type="character" w:styleId="af2">
    <w:name w:val="page number"/>
    <w:basedOn w:val="a0"/>
    <w:rsid w:val="00C54059"/>
  </w:style>
  <w:style w:type="table" w:customStyle="1" w:styleId="32">
    <w:name w:val="Сетка таблицы3"/>
    <w:basedOn w:val="a1"/>
    <w:next w:val="ad"/>
    <w:rsid w:val="00C5405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d"/>
    <w:uiPriority w:val="59"/>
    <w:rsid w:val="00C5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Основной текст_"/>
    <w:basedOn w:val="a0"/>
    <w:link w:val="41"/>
    <w:rsid w:val="00C54059"/>
    <w:rPr>
      <w:rFonts w:cs="Calibri"/>
      <w:sz w:val="17"/>
      <w:szCs w:val="17"/>
      <w:shd w:val="clear" w:color="auto" w:fill="FFFFFF"/>
    </w:rPr>
  </w:style>
  <w:style w:type="paragraph" w:customStyle="1" w:styleId="41">
    <w:name w:val="Основной текст4"/>
    <w:basedOn w:val="a"/>
    <w:link w:val="af3"/>
    <w:rsid w:val="00C54059"/>
    <w:pPr>
      <w:widowControl w:val="0"/>
      <w:shd w:val="clear" w:color="auto" w:fill="FFFFFF"/>
      <w:spacing w:before="360" w:after="360" w:line="216" w:lineRule="exact"/>
    </w:pPr>
    <w:rPr>
      <w:rFonts w:cs="Calibri"/>
      <w:sz w:val="17"/>
      <w:szCs w:val="17"/>
    </w:rPr>
  </w:style>
  <w:style w:type="character" w:customStyle="1" w:styleId="40">
    <w:name w:val="Заголовок 4 Знак"/>
    <w:basedOn w:val="a0"/>
    <w:link w:val="4"/>
    <w:uiPriority w:val="9"/>
    <w:rsid w:val="00C54059"/>
    <w:rPr>
      <w:rFonts w:asciiTheme="majorHAnsi" w:eastAsiaTheme="majorEastAsia" w:hAnsiTheme="majorHAnsi" w:cstheme="majorBidi"/>
      <w:b/>
      <w:bCs/>
      <w:i/>
      <w:iCs/>
      <w:color w:val="4F81BD" w:themeColor="accent1"/>
    </w:rPr>
  </w:style>
  <w:style w:type="numbering" w:customStyle="1" w:styleId="13">
    <w:name w:val="Нет списка1"/>
    <w:next w:val="a2"/>
    <w:uiPriority w:val="99"/>
    <w:semiHidden/>
    <w:unhideWhenUsed/>
    <w:rsid w:val="009B7369"/>
  </w:style>
  <w:style w:type="paragraph" w:customStyle="1" w:styleId="western">
    <w:name w:val="western"/>
    <w:basedOn w:val="a"/>
    <w:rsid w:val="009B73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FollowedHyperlink"/>
    <w:basedOn w:val="a0"/>
    <w:uiPriority w:val="99"/>
    <w:semiHidden/>
    <w:unhideWhenUsed/>
    <w:rsid w:val="009B7369"/>
    <w:rPr>
      <w:color w:val="800080"/>
      <w:u w:val="single"/>
    </w:rPr>
  </w:style>
</w:styles>
</file>

<file path=word/webSettings.xml><?xml version="1.0" encoding="utf-8"?>
<w:webSettings xmlns:r="http://schemas.openxmlformats.org/officeDocument/2006/relationships" xmlns:w="http://schemas.openxmlformats.org/wordprocessingml/2006/main">
  <w:divs>
    <w:div w:id="346444460">
      <w:bodyDiv w:val="1"/>
      <w:marLeft w:val="0"/>
      <w:marRight w:val="0"/>
      <w:marTop w:val="0"/>
      <w:marBottom w:val="0"/>
      <w:divBdr>
        <w:top w:val="none" w:sz="0" w:space="0" w:color="auto"/>
        <w:left w:val="none" w:sz="0" w:space="0" w:color="auto"/>
        <w:bottom w:val="none" w:sz="0" w:space="0" w:color="auto"/>
        <w:right w:val="none" w:sz="0" w:space="0" w:color="auto"/>
      </w:divBdr>
    </w:div>
    <w:div w:id="387536841">
      <w:bodyDiv w:val="1"/>
      <w:marLeft w:val="0"/>
      <w:marRight w:val="0"/>
      <w:marTop w:val="0"/>
      <w:marBottom w:val="0"/>
      <w:divBdr>
        <w:top w:val="none" w:sz="0" w:space="0" w:color="auto"/>
        <w:left w:val="none" w:sz="0" w:space="0" w:color="auto"/>
        <w:bottom w:val="none" w:sz="0" w:space="0" w:color="auto"/>
        <w:right w:val="none" w:sz="0" w:space="0" w:color="auto"/>
      </w:divBdr>
    </w:div>
    <w:div w:id="456529130">
      <w:bodyDiv w:val="1"/>
      <w:marLeft w:val="0"/>
      <w:marRight w:val="0"/>
      <w:marTop w:val="0"/>
      <w:marBottom w:val="0"/>
      <w:divBdr>
        <w:top w:val="none" w:sz="0" w:space="0" w:color="auto"/>
        <w:left w:val="none" w:sz="0" w:space="0" w:color="auto"/>
        <w:bottom w:val="none" w:sz="0" w:space="0" w:color="auto"/>
        <w:right w:val="none" w:sz="0" w:space="0" w:color="auto"/>
      </w:divBdr>
    </w:div>
    <w:div w:id="603881417">
      <w:bodyDiv w:val="1"/>
      <w:marLeft w:val="0"/>
      <w:marRight w:val="0"/>
      <w:marTop w:val="0"/>
      <w:marBottom w:val="0"/>
      <w:divBdr>
        <w:top w:val="none" w:sz="0" w:space="0" w:color="auto"/>
        <w:left w:val="none" w:sz="0" w:space="0" w:color="auto"/>
        <w:bottom w:val="none" w:sz="0" w:space="0" w:color="auto"/>
        <w:right w:val="none" w:sz="0" w:space="0" w:color="auto"/>
      </w:divBdr>
      <w:divsChild>
        <w:div w:id="333993287">
          <w:marLeft w:val="0"/>
          <w:marRight w:val="0"/>
          <w:marTop w:val="0"/>
          <w:marBottom w:val="0"/>
          <w:divBdr>
            <w:top w:val="none" w:sz="0" w:space="0" w:color="auto"/>
            <w:left w:val="none" w:sz="0" w:space="0" w:color="auto"/>
            <w:bottom w:val="none" w:sz="0" w:space="0" w:color="auto"/>
            <w:right w:val="none" w:sz="0" w:space="0" w:color="auto"/>
          </w:divBdr>
          <w:divsChild>
            <w:div w:id="448472350">
              <w:marLeft w:val="0"/>
              <w:marRight w:val="0"/>
              <w:marTop w:val="0"/>
              <w:marBottom w:val="0"/>
              <w:divBdr>
                <w:top w:val="none" w:sz="0" w:space="0" w:color="auto"/>
                <w:left w:val="none" w:sz="0" w:space="0" w:color="auto"/>
                <w:bottom w:val="none" w:sz="0" w:space="0" w:color="auto"/>
                <w:right w:val="none" w:sz="0" w:space="0" w:color="auto"/>
              </w:divBdr>
              <w:divsChild>
                <w:div w:id="398938272">
                  <w:marLeft w:val="0"/>
                  <w:marRight w:val="0"/>
                  <w:marTop w:val="0"/>
                  <w:marBottom w:val="0"/>
                  <w:divBdr>
                    <w:top w:val="none" w:sz="0" w:space="0" w:color="auto"/>
                    <w:left w:val="none" w:sz="0" w:space="0" w:color="auto"/>
                    <w:bottom w:val="none" w:sz="0" w:space="0" w:color="auto"/>
                    <w:right w:val="none" w:sz="0" w:space="0" w:color="auto"/>
                  </w:divBdr>
                  <w:divsChild>
                    <w:div w:id="147211566">
                      <w:marLeft w:val="0"/>
                      <w:marRight w:val="0"/>
                      <w:marTop w:val="0"/>
                      <w:marBottom w:val="0"/>
                      <w:divBdr>
                        <w:top w:val="none" w:sz="0" w:space="0" w:color="auto"/>
                        <w:left w:val="none" w:sz="0" w:space="0" w:color="auto"/>
                        <w:bottom w:val="none" w:sz="0" w:space="0" w:color="auto"/>
                        <w:right w:val="none" w:sz="0" w:space="0" w:color="auto"/>
                      </w:divBdr>
                      <w:divsChild>
                        <w:div w:id="1680278558">
                          <w:marLeft w:val="0"/>
                          <w:marRight w:val="0"/>
                          <w:marTop w:val="0"/>
                          <w:marBottom w:val="0"/>
                          <w:divBdr>
                            <w:top w:val="none" w:sz="0" w:space="0" w:color="auto"/>
                            <w:left w:val="none" w:sz="0" w:space="0" w:color="auto"/>
                            <w:bottom w:val="none" w:sz="0" w:space="0" w:color="auto"/>
                            <w:right w:val="none" w:sz="0" w:space="0" w:color="auto"/>
                          </w:divBdr>
                          <w:divsChild>
                            <w:div w:id="7749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724372">
      <w:bodyDiv w:val="1"/>
      <w:marLeft w:val="0"/>
      <w:marRight w:val="0"/>
      <w:marTop w:val="0"/>
      <w:marBottom w:val="0"/>
      <w:divBdr>
        <w:top w:val="none" w:sz="0" w:space="0" w:color="auto"/>
        <w:left w:val="none" w:sz="0" w:space="0" w:color="auto"/>
        <w:bottom w:val="none" w:sz="0" w:space="0" w:color="auto"/>
        <w:right w:val="none" w:sz="0" w:space="0" w:color="auto"/>
      </w:divBdr>
    </w:div>
    <w:div w:id="1788352937">
      <w:bodyDiv w:val="1"/>
      <w:marLeft w:val="0"/>
      <w:marRight w:val="0"/>
      <w:marTop w:val="0"/>
      <w:marBottom w:val="0"/>
      <w:divBdr>
        <w:top w:val="none" w:sz="0" w:space="0" w:color="auto"/>
        <w:left w:val="none" w:sz="0" w:space="0" w:color="auto"/>
        <w:bottom w:val="none" w:sz="0" w:space="0" w:color="auto"/>
        <w:right w:val="none" w:sz="0" w:space="0" w:color="auto"/>
      </w:divBdr>
    </w:div>
    <w:div w:id="214468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 TargetMode="External"/><Relationship Id="rId18" Type="http://schemas.openxmlformats.org/officeDocument/2006/relationships/hyperlink" Target="http://planetahr.ru/rubric/92/19" TargetMode="External"/><Relationship Id="rId26" Type="http://schemas.openxmlformats.org/officeDocument/2006/relationships/image" Target="media/image6.png"/><Relationship Id="rId39" Type="http://schemas.openxmlformats.org/officeDocument/2006/relationships/image" Target="media/image19.wmf"/><Relationship Id="rId21" Type="http://schemas.openxmlformats.org/officeDocument/2006/relationships/image" Target="media/image1.png"/><Relationship Id="rId34" Type="http://schemas.openxmlformats.org/officeDocument/2006/relationships/image" Target="media/image14.wmf"/><Relationship Id="rId42" Type="http://schemas.openxmlformats.org/officeDocument/2006/relationships/hyperlink" Target="http://futurebanking.ru/upload/mediacontent/ported_images/2012-10-dynamic3.jpg" TargetMode="External"/><Relationship Id="rId47" Type="http://schemas.openxmlformats.org/officeDocument/2006/relationships/hyperlink" Target="http://www.kredits.ru" TargetMode="External"/><Relationship Id="rId50" Type="http://schemas.openxmlformats.org/officeDocument/2006/relationships/hyperlink" Target="http://www.rts.ru/ru/listing/emidocs.html?iss=ROSB" TargetMode="External"/><Relationship Id="rId55" Type="http://schemas.microsoft.com/office/2007/relationships/hdphoto" Target="media/hdphoto1.wdp"/><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hyperlink" Target="http://planetahr.ru/publication/1601/19/92" TargetMode="External"/><Relationship Id="rId25" Type="http://schemas.openxmlformats.org/officeDocument/2006/relationships/image" Target="media/image5.png"/><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hyperlink" Target="http://bankir.ru/tehnologii/s/rabota-s-klientami-kak-faktor-povisheniya-effektivnosti-v-investicionnom-banke-4316133/" TargetMode="External"/><Relationship Id="rId2" Type="http://schemas.openxmlformats.org/officeDocument/2006/relationships/numbering" Target="numbering.xml"/><Relationship Id="rId16" Type="http://schemas.openxmlformats.org/officeDocument/2006/relationships/hyperlink" Target="javascript://" TargetMode="External"/><Relationship Id="rId20" Type="http://schemas.openxmlformats.org/officeDocument/2006/relationships/hyperlink" Target="http://planetahr.ru/publication/2140/19/92" TargetMode="External"/><Relationship Id="rId29"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aexpert.ru/database/companies/moskomprivatbank" TargetMode="External"/><Relationship Id="rId24" Type="http://schemas.openxmlformats.org/officeDocument/2006/relationships/image" Target="media/image4.png"/><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hyperlink" Target="http://bankir.ru/tehnologii/" TargetMode="External"/><Relationship Id="rId53" Type="http://schemas.openxmlformats.org/officeDocument/2006/relationships/footer" Target="footer1.xm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javascript://"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image" Target="media/image16.wmf"/><Relationship Id="rId49" Type="http://schemas.openxmlformats.org/officeDocument/2006/relationships/hyperlink" Target="http://www.lomonosov-msu.ru" TargetMode="External"/><Relationship Id="rId57" Type="http://schemas.openxmlformats.org/officeDocument/2006/relationships/theme" Target="theme/theme1.xml"/><Relationship Id="rId10" Type="http://schemas.openxmlformats.org/officeDocument/2006/relationships/hyperlink" Target="http://raexpert.ru/database/companies/moskomprivatbank" TargetMode="External"/><Relationship Id="rId19" Type="http://schemas.openxmlformats.org/officeDocument/2006/relationships/hyperlink" Target="http://planetahr.ru/publication/2099/19/92" TargetMode="External"/><Relationship Id="rId31" Type="http://schemas.openxmlformats.org/officeDocument/2006/relationships/image" Target="media/image11.wmf"/><Relationship Id="rId44" Type="http://schemas.openxmlformats.org/officeDocument/2006/relationships/hyperlink" Target="http://bankir.ru/" TargetMode="External"/><Relationship Id="rId52" Type="http://schemas.openxmlformats.org/officeDocument/2006/relationships/hyperlink" Target="http://www.kreditovik.ru/region.php?id=16404" TargetMode="External"/><Relationship Id="rId4" Type="http://schemas.openxmlformats.org/officeDocument/2006/relationships/settings" Target="settings.xml"/><Relationship Id="rId9" Type="http://schemas.openxmlformats.org/officeDocument/2006/relationships/hyperlink" Target="https://privatline.ru/publ.php" TargetMode="External"/><Relationship Id="rId14" Type="http://schemas.openxmlformats.org/officeDocument/2006/relationships/hyperlink" Target="javascript://"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image" Target="media/image22.jpeg"/><Relationship Id="rId48" Type="http://schemas.openxmlformats.org/officeDocument/2006/relationships/hyperlink" Target="http://www.expert.ru/" TargetMode="External"/><Relationship Id="rId56" Type="http://schemas.openxmlformats.org/officeDocument/2006/relationships/fontTable" Target="fontTable.xml"/><Relationship Id="rId8" Type="http://schemas.openxmlformats.org/officeDocument/2006/relationships/hyperlink" Target="https://privatline.ru/moskomprivatbank.php" TargetMode="External"/><Relationship Id="rId51" Type="http://schemas.openxmlformats.org/officeDocument/2006/relationships/hyperlink" Target="http://www.banki.ru/banks/bank/royalcreditbank/"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bankir.ru/tehnologii/s/rabota-s-klientami-kak-faktor-povisheniya-effektivnosti-v-investicionnom-banke-4316133/" TargetMode="External"/><Relationship Id="rId3" Type="http://schemas.openxmlformats.org/officeDocument/2006/relationships/hyperlink" Target="http://www.lomonosov-msu.ru" TargetMode="External"/><Relationship Id="rId7" Type="http://schemas.openxmlformats.org/officeDocument/2006/relationships/hyperlink" Target="http://bankir.ru/tehnologii/" TargetMode="External"/><Relationship Id="rId2" Type="http://schemas.openxmlformats.org/officeDocument/2006/relationships/hyperlink" Target="http://www.expert.ru/" TargetMode="External"/><Relationship Id="rId1" Type="http://schemas.openxmlformats.org/officeDocument/2006/relationships/hyperlink" Target="http://www.abik.ru/asp/autoref_Ogureeva.pdf" TargetMode="External"/><Relationship Id="rId6" Type="http://schemas.openxmlformats.org/officeDocument/2006/relationships/hyperlink" Target="http://bankir.ru/" TargetMode="External"/><Relationship Id="rId5" Type="http://schemas.openxmlformats.org/officeDocument/2006/relationships/hyperlink" Target="http://www.rts.ru/ru/listing/emidocs.html?iss=ROSB" TargetMode="External"/><Relationship Id="rId4" Type="http://schemas.openxmlformats.org/officeDocument/2006/relationships/hyperlink" Target="http://www.banki.ru/banks/bank/royalcredit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43A7F-053F-4072-926F-B0840080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11970</Words>
  <Characters>68235</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Антон</cp:lastModifiedBy>
  <cp:revision>4</cp:revision>
  <dcterms:created xsi:type="dcterms:W3CDTF">2013-09-03T20:32:00Z</dcterms:created>
  <dcterms:modified xsi:type="dcterms:W3CDTF">2013-09-04T15:39:00Z</dcterms:modified>
</cp:coreProperties>
</file>