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3D" w:rsidRPr="0029303D" w:rsidRDefault="0029303D" w:rsidP="0029303D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29303D">
        <w:rPr>
          <w:rFonts w:asciiTheme="minorHAnsi" w:hAnsiTheme="minorHAnsi" w:cstheme="minorHAnsi"/>
          <w:b/>
          <w:sz w:val="16"/>
          <w:szCs w:val="16"/>
        </w:rPr>
        <w:t>Формы международных расчетов.</w:t>
      </w:r>
    </w:p>
    <w:p w:rsidR="0029303D" w:rsidRPr="00620F78" w:rsidRDefault="0029303D" w:rsidP="0029303D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Международные расчёты, расчёты по международным торговым операциям — форма международных валютно-кредитных отношений. Представляет собой совокупность различных форм и методов расчёта по торгово-экономическим операциям между контрагентами из разных стран.</w:t>
      </w:r>
    </w:p>
    <w:p w:rsidR="0029303D" w:rsidRPr="00620F78" w:rsidRDefault="0029303D" w:rsidP="0029303D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Мировая практика международной торговли выработала и применяет следующие основные формы международных расчётов:</w:t>
      </w:r>
    </w:p>
    <w:p w:rsidR="0029303D" w:rsidRPr="00620F78" w:rsidRDefault="0029303D" w:rsidP="0029303D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>Банковский перевод</w:t>
      </w:r>
      <w:r w:rsidRPr="00620F78">
        <w:rPr>
          <w:rFonts w:asciiTheme="minorHAnsi" w:hAnsiTheme="minorHAnsi" w:cstheme="minorHAnsi"/>
          <w:sz w:val="16"/>
          <w:szCs w:val="16"/>
        </w:rPr>
        <w:t>. Представляет собой платную услугу банка, предоставляемую на основе договора, заключённого банком с клиентом. Основным документом по данной форме расчёта выступает платёжное поручение клиента. В платежном поручении клиент указывают сумму в соответствующей валюте, которую он поручает банку перевести на счёт своего торгового партнёра.</w:t>
      </w:r>
    </w:p>
    <w:p w:rsidR="0029303D" w:rsidRPr="00620F78" w:rsidRDefault="0029303D" w:rsidP="0029303D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>Инкассо</w:t>
      </w:r>
      <w:r w:rsidRPr="00620F78">
        <w:rPr>
          <w:rFonts w:asciiTheme="minorHAnsi" w:hAnsiTheme="minorHAnsi" w:cstheme="minorHAnsi"/>
          <w:sz w:val="16"/>
          <w:szCs w:val="16"/>
        </w:rPr>
        <w:t xml:space="preserve">. Представляет собой операцию банка по взысканию с должника клиента на основании предоставленных клиентом финансовых и/или торговых документов определённой денежной суммы в соответствующей валюте.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Сумма долга, наименование должника, его местонахождение, платёжные реквизиты содержатся в предоставляемых банку клиентом документов.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Выполняя поручение по взысканию с должника в пользу клиента соответствующих денежных средств, банк направляет для оплаты соответствующие документы, на основании которых производится оплата долга. Основным документом по операции в форме инкассо является инкассовое поручение, которое подписывает клиент банка, прикладывая необходимые документы. Расчёты в форме инкассо осуществляются в соответствии с Унифицированными правилами по инкассо.</w:t>
      </w:r>
    </w:p>
    <w:p w:rsidR="0029303D" w:rsidRPr="00620F78" w:rsidRDefault="0029303D" w:rsidP="0029303D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>Документарный аккредитив</w:t>
      </w:r>
      <w:r w:rsidRPr="00620F78">
        <w:rPr>
          <w:rFonts w:asciiTheme="minorHAnsi" w:hAnsiTheme="minorHAnsi" w:cstheme="minorHAnsi"/>
          <w:sz w:val="16"/>
          <w:szCs w:val="16"/>
        </w:rPr>
        <w:t xml:space="preserve">. Представляет собой обязательство банка произвести платёж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против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надлежащим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образом оформленных документов в пользу бенефициара. Банк, который производит платёж по аккредитиву, сверяет комплектность и содержание представленных документов условиям аккредитива.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 xml:space="preserve">В международных расчётах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применется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большое разнообразие видов аккредитивов: отзывные и безотзывные; подтверждённые и неподтверждённые; покрытые; делимые; револьверные (возобновляемые); резервные (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stand-by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трансферабельные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(переводные).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Основным документом является заявление на открытие аккредитива, которое по определённым правилам заполняет и подписывает приказодатель по аккредитиву - клиент банка (импортёр), по приказу и на основании инструкций которого действует банк. Расчёты 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докуметарному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аккредитиву осуществляются в соответствии с Унифицированными правилами и обычаями для документарных аккредитивов.</w:t>
      </w:r>
    </w:p>
    <w:p w:rsidR="0029303D" w:rsidRPr="00620F78" w:rsidRDefault="0029303D" w:rsidP="0029303D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>Открытый счёт.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Представляет форму расчётов между партнёрами, когда экспортёр отгружает товар импортёру и открывает счёт на покупателя, занося сумму задолженности в дебет счёта. При поступлении платежа за поставленный товар задолженность закрывается[4]. Данная форма расчётов применяется в расчётах между постоянными партнёрами, имеющими высокий уровень доверия друг другу.</w:t>
      </w:r>
    </w:p>
    <w:p w:rsidR="0029303D" w:rsidRPr="00620F78" w:rsidRDefault="0029303D" w:rsidP="0029303D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>Кредитные формы расчёта</w:t>
      </w:r>
      <w:r w:rsidRPr="00620F78">
        <w:rPr>
          <w:rFonts w:asciiTheme="minorHAnsi" w:hAnsiTheme="minorHAnsi" w:cstheme="minorHAnsi"/>
          <w:sz w:val="16"/>
          <w:szCs w:val="16"/>
        </w:rPr>
        <w:t xml:space="preserve">, предполагающие использование кредитных средств обращения и платежа. К ним относятся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вексели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чеки. Кроме того, применяются форфейтинг и факторинг.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29AC6183"/>
    <w:multiLevelType w:val="hybridMultilevel"/>
    <w:tmpl w:val="B262C61A"/>
    <w:lvl w:ilvl="0" w:tplc="0562BF98">
      <w:start w:val="40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9303D"/>
    <w:rsid w:val="0029303D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0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2531</Characters>
  <Application>Microsoft Office Word</Application>
  <DocSecurity>0</DocSecurity>
  <Lines>21</Lines>
  <Paragraphs>5</Paragraphs>
  <ScaleCrop>false</ScaleCrop>
  <Company>Home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2012-06-29T06:17:00Z</dcterms:created>
  <dcterms:modified xsi:type="dcterms:W3CDTF">2012-06-29T06:22:00Z</dcterms:modified>
</cp:coreProperties>
</file>