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1D" w:rsidRPr="00FF451D" w:rsidRDefault="00FF451D" w:rsidP="00FF451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FF451D">
        <w:rPr>
          <w:rFonts w:asciiTheme="minorHAnsi" w:hAnsiTheme="minorHAnsi" w:cstheme="minorHAnsi"/>
          <w:b/>
          <w:sz w:val="16"/>
          <w:szCs w:val="16"/>
          <w:u w:val="single"/>
        </w:rPr>
        <w:t xml:space="preserve">Специализированные банки: понятие, характеристика видов. </w:t>
      </w:r>
    </w:p>
    <w:p w:rsidR="00FF451D" w:rsidRPr="00620F78" w:rsidRDefault="00FF451D" w:rsidP="00FF451D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Анализ банк систем разл. стран свид-ет о параллельном развитии тенденции к усилению спец-ции деят-ти КБ. Так, в странах развитой рын. эк-ки, кот. имеют универс.стр-ру кредит.сист., важн. место занимают специализ. банки.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Специализиров.банки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частные и гос.кред. институты с особыми задачами, вып.ряд ф-ций по стим-ию опр. сфер нац. эк-ки. Одн. из целей Стратегии развития банк.сектора РФ явл. создание таких банк.институтов с особыми задачами, связанными с реал-цией нац. интересов. По критериям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спец-ции </w:t>
      </w:r>
      <w:r w:rsidRPr="00620F78">
        <w:rPr>
          <w:rFonts w:asciiTheme="minorHAnsi" w:hAnsiTheme="minorHAnsi" w:cstheme="minorHAnsi"/>
          <w:sz w:val="16"/>
          <w:szCs w:val="16"/>
        </w:rPr>
        <w:t>м/о разделить на группы: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1.функционал.спец-ция – </w:t>
      </w:r>
      <w:r w:rsidRPr="00620F78">
        <w:rPr>
          <w:rFonts w:asciiTheme="minorHAnsi" w:hAnsiTheme="minorHAnsi" w:cstheme="minorHAnsi"/>
          <w:sz w:val="16"/>
          <w:szCs w:val="16"/>
        </w:rPr>
        <w:t xml:space="preserve">инновац.,инвестиц., сбер.,ипотеч.,учетные,депозит.,клиринговые;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2.отраслевая спец-ция –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с/х, соц.развития,строит., трастовые, энергетич., внешнеторговые;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3. клиентная спец-ция – </w:t>
      </w:r>
      <w:r w:rsidRPr="00620F78">
        <w:rPr>
          <w:rFonts w:asciiTheme="minorHAnsi" w:hAnsiTheme="minorHAnsi" w:cstheme="minorHAnsi"/>
          <w:sz w:val="16"/>
          <w:szCs w:val="16"/>
        </w:rPr>
        <w:t xml:space="preserve">потребит.кредита,биржевые,коммунальные,кооперативные, страховые;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4. терр.спец-уция – </w:t>
      </w:r>
      <w:r w:rsidRPr="00620F78">
        <w:rPr>
          <w:rFonts w:asciiTheme="minorHAnsi" w:hAnsiTheme="minorHAnsi" w:cstheme="minorHAnsi"/>
          <w:sz w:val="16"/>
          <w:szCs w:val="16"/>
        </w:rPr>
        <w:t>регион., межрегион.,м/н. Наиболее ярко выражена функцион.спец-ция, т.к.она влияет на хар-р деят-ти банка, опред-ет особ-ти форм-ия активов и пассивов, специфику работы с клиентурой. Важн. и наиболее распростр. из них явл-ся и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>ипотеч.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банк.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Ипотечные банки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банки, спец-щиеся на предост-ии ссуд под залог недв-ти - земли и строений. Их ресурсами явл.собств. накопления и ипотеч. облигации. </w:t>
      </w:r>
      <w:r w:rsidRPr="00620F78">
        <w:rPr>
          <w:rFonts w:asciiTheme="minorHAnsi" w:hAnsiTheme="minorHAnsi" w:cstheme="minorHAnsi"/>
          <w:i/>
          <w:sz w:val="16"/>
          <w:szCs w:val="16"/>
        </w:rPr>
        <w:t>Ипотеч. облигации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долгоср. ц/б, выпускаемые под обесп-ие недвиж. имуществом и приносящие твердый %. Ипотеч.кредит – долгоср. ссуды, выдаваемые под залог недв-ти, земли. % ставки по ипотеч. ссудам дифф-ся в зав-ти от фин. положения заемщиков. При неуплате задолж-ти в срок заемщик теряет недв-ть, кот.явл.обесп-ем кредита. Ипотеч.кредит подвергается гос. рег-ию, что включает обесп-ие ликв-ти ипотеч.банков, обязат.хранение опр. части привлеченных ими ср-в в ЦБ, контроль за </w:t>
      </w:r>
      <w:r w:rsidRPr="00620F78">
        <w:rPr>
          <w:rFonts w:asciiTheme="minorHAnsi" w:hAnsiTheme="minorHAnsi" w:cstheme="minorHAnsi"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кредит.операций и эмиссией ц/б и др. мероприятия. 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755B7B80"/>
    <w:multiLevelType w:val="hybridMultilevel"/>
    <w:tmpl w:val="0E1EE070"/>
    <w:lvl w:ilvl="0" w:tplc="6C72BBDA">
      <w:start w:val="26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F451D"/>
    <w:rsid w:val="006D21DB"/>
    <w:rsid w:val="00FF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Company>Home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2012-06-29T06:15:00Z</dcterms:modified>
</cp:coreProperties>
</file>